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color w:val="000000"/>
          <w:sz w:val="36"/>
        </w:rPr>
      </w:pPr>
      <w:r>
        <w:rPr>
          <w:rFonts w:hint="eastAsia" w:ascii="宋体" w:hAnsi="宋体" w:cs="宋体"/>
          <w:color w:val="000000"/>
          <w:sz w:val="28"/>
          <w:szCs w:val="20"/>
        </w:rPr>
        <w:t xml:space="preserve">项目编号：JSZC-321084-YZHZ-G2025-</w:t>
      </w:r>
      <w:r>
        <w:rPr>
          <w:rFonts w:hint="eastAsia" w:ascii="宋体" w:hAnsi="宋体" w:cs="宋体"/>
          <w:color w:val="000000"/>
          <w:sz w:val="28"/>
          <w:szCs w:val="20"/>
          <w:lang w:eastAsia="zh-CN"/>
        </w:rPr>
        <w:t xml:space="preserve">0024</w:t>
      </w:r>
      <w:r>
        <w:rPr>
          <w:rFonts w:hint="eastAsia" w:ascii="宋体" w:hAnsi="宋体" w:cs="宋体"/>
          <w:color w:val="000000"/>
          <w:sz w:val="22"/>
          <w:szCs w:val="16"/>
        </w:rPr>
        <w:t xml:space="preserve">     </w: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sz w:val="44"/>
          <w:szCs w:val="44"/>
        </w:rPr>
      </w:pPr>
      <w:r/>
      <w:bookmarkStart w:id="0" w:name="_Toc843"/>
      <w:r/>
      <w:bookmarkStart w:id="1" w:name="_Toc31058"/>
      <w:r/>
      <w:bookmarkEnd w:id="0"/>
      <w:r/>
      <w:bookmarkEnd w:id="1"/>
      <w:r/>
      <w:r/>
    </w:p>
    <w:p>
      <w:pPr>
        <w:jc w:val="cente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rPr>
          <w:rFonts w:hint="eastAsia" w:ascii="宋体" w:hAnsi="宋体" w:eastAsia="宋体" w:cs="宋体"/>
          <w:color w:val="000000"/>
          <w:sz w:val="44"/>
          <w:szCs w:val="44"/>
          <w:lang w:eastAsia="zh-CN"/>
        </w:rPr>
      </w:pPr>
      <w:r>
        <w:rPr>
          <w:rFonts w:hint="eastAsia" w:ascii="宋体" w:hAnsi="宋体" w:cs="宋体"/>
          <w:color w:val="000000"/>
          <w:sz w:val="52"/>
          <w:szCs w:val="52"/>
          <w:lang w:eastAsia="zh-CN"/>
        </w:rPr>
        <w:t xml:space="preserve">高邮市龙虬镇政府食堂食材供应公司公开招标项目</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44"/>
          <w:szCs w:val="28"/>
        </w:rPr>
      </w:pPr>
      <w:r>
        <w:rPr>
          <w:rFonts w:ascii="宋体" w:hAnsi="宋体" w:cs="宋体"/>
          <w:color w:val="000000"/>
          <w:sz w:val="44"/>
          <w:szCs w:val="28"/>
        </w:rPr>
      </w:r>
      <w:r/>
    </w:p>
    <w:p>
      <w:pPr>
        <w:jc w:val="center"/>
        <w:rPr>
          <w:rFonts w:ascii="宋体" w:hAnsi="宋体" w:cs="宋体"/>
          <w:color w:val="000000"/>
          <w:sz w:val="56"/>
          <w:szCs w:val="40"/>
        </w:rPr>
      </w:pPr>
      <w:r>
        <w:rPr>
          <w:rFonts w:hint="eastAsia" w:ascii="宋体" w:hAnsi="宋体" w:cs="宋体"/>
          <w:color w:val="000000"/>
          <w:sz w:val="56"/>
          <w:szCs w:val="40"/>
        </w:rPr>
        <w:t xml:space="preserve">公开招标文件</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pStyle w:val="853"/>
        <w:rPr>
          <w:rFonts w:hAnsi="宋体" w:cs="宋体"/>
        </w:rPr>
      </w:pPr>
      <w:r>
        <w:rPr>
          <w:rFonts w:hAnsi="宋体" w:cs="宋体"/>
        </w:rPr>
      </w:r>
      <w:r/>
    </w:p>
    <w:p>
      <w:pPr>
        <w:jc w:val="center"/>
        <w:rPr>
          <w:rFonts w:ascii="宋体" w:hAnsi="宋体" w:cs="宋体"/>
          <w:color w:val="000000"/>
          <w:sz w:val="36"/>
        </w:rPr>
      </w:pPr>
      <w:r>
        <w:rPr>
          <w:rFonts w:ascii="宋体" w:hAnsi="宋体" w:cs="宋体"/>
          <w:color w:val="000000"/>
          <w:sz w:val="36"/>
        </w:rPr>
      </w:r>
      <w:r/>
    </w:p>
    <w:p>
      <w:pPr>
        <w:rPr>
          <w:rFonts w:ascii="宋体" w:hAnsi="宋体" w:cs="宋体"/>
        </w:rPr>
      </w:pPr>
      <w:r>
        <w:rPr>
          <w:rFonts w:ascii="宋体" w:hAnsi="宋体" w:cs="宋体"/>
        </w:rPr>
      </w:r>
      <w:r/>
    </w:p>
    <w:p>
      <w:pPr>
        <w:pStyle w:val="853"/>
        <w:rPr>
          <w:rFonts w:hAnsi="宋体" w:cs="宋体"/>
        </w:rPr>
      </w:pPr>
      <w:r>
        <w:rPr>
          <w:rFonts w:hAnsi="宋体" w:cs="宋体"/>
        </w:rPr>
      </w:r>
      <w:r/>
    </w:p>
    <w:p>
      <w:pPr>
        <w:pStyle w:val="854"/>
        <w:rPr>
          <w:rFonts w:hAnsi="宋体" w:cs="宋体"/>
          <w:lang w:eastAsia="zh-CN"/>
        </w:rPr>
      </w:pPr>
      <w:r>
        <w:rPr>
          <w:rFonts w:hAnsi="宋体" w:cs="宋体"/>
          <w:lang w:eastAsia="zh-CN"/>
        </w:rPr>
      </w:r>
      <w:r/>
    </w:p>
    <w:p>
      <w:pPr>
        <w:pStyle w:val="853"/>
        <w:rPr>
          <w:rFonts w:hAnsi="宋体" w:cs="宋体"/>
        </w:rPr>
      </w:pPr>
      <w:r>
        <w:rPr>
          <w:rFonts w:hAnsi="宋体" w:cs="宋体"/>
        </w:rPr>
      </w:r>
      <w:r/>
    </w:p>
    <w:p>
      <w:pPr>
        <w:jc w:val="center"/>
        <w:spacing w:line="360" w:lineRule="auto"/>
        <w:rPr>
          <w:rFonts w:hint="eastAsia" w:ascii="宋体" w:hAnsi="宋体" w:eastAsia="宋体" w:cs="宋体"/>
          <w:color w:val="000000"/>
          <w:sz w:val="32"/>
          <w:szCs w:val="32"/>
          <w:lang w:eastAsia="zh-CN"/>
        </w:rPr>
      </w:pPr>
      <w:r/>
      <w:bookmarkStart w:id="2" w:name="_Toc138777681"/>
      <w:r>
        <w:rPr>
          <w:rFonts w:hint="eastAsia" w:ascii="宋体" w:hAnsi="宋体" w:cs="宋体"/>
          <w:color w:val="000000"/>
          <w:sz w:val="32"/>
          <w:szCs w:val="32"/>
          <w:lang w:eastAsia="zh-CN"/>
        </w:rPr>
        <w:t xml:space="preserve">高邮市龙虬镇人民政府</w:t>
      </w:r>
      <w:r/>
    </w:p>
    <w:p>
      <w:pPr>
        <w:pStyle w:val="825"/>
      </w:pPr>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2"/>
      <w:r/>
      <w:bookmarkStart w:id="3" w:name="FMFBSJ_1"/>
      <w:r>
        <w:rPr>
          <w:rFonts w:hint="eastAsia" w:ascii="宋体" w:hAnsi="宋体" w:cs="宋体"/>
          <w:color w:val="000000"/>
          <w:sz w:val="32"/>
          <w:szCs w:val="32"/>
        </w:rPr>
        <w:t xml:space="preserve">   扬州华泽工程项目管理咨询有限公司</w:t>
      </w:r>
      <w:r/>
    </w:p>
    <w:p>
      <w:pPr>
        <w:spacing w:line="360" w:lineRule="auto"/>
        <w:rPr>
          <w:rFonts w:ascii="宋体" w:hAnsi="宋体" w:cs="宋体"/>
          <w:color w:val="000000"/>
          <w:sz w:val="32"/>
          <w:szCs w:val="32"/>
        </w:rPr>
      </w:pPr>
      <w:r>
        <w:rPr>
          <w:rFonts w:hint="eastAsia" w:ascii="宋体" w:hAnsi="宋体" w:cs="宋体"/>
          <w:color w:val="000000"/>
          <w:sz w:val="32"/>
          <w:szCs w:val="32"/>
        </w:rPr>
        <w:t xml:space="preserve">                  </w:t>
      </w:r>
      <w:bookmarkEnd w:id="3"/>
      <w:r>
        <w:rPr>
          <w:rFonts w:hint="eastAsia" w:ascii="宋体" w:hAnsi="宋体" w:cs="宋体"/>
          <w:color w:val="000000"/>
          <w:sz w:val="32"/>
          <w:szCs w:val="32"/>
        </w:rPr>
        <w:t xml:space="preserve">  </w:t>
      </w:r>
      <w:r/>
    </w:p>
    <w:p>
      <w:pPr>
        <w:ind w:firstLine="3200"/>
        <w:spacing w:line="360" w:lineRule="auto"/>
        <w:rPr>
          <w:rFonts w:ascii="宋体" w:hAnsi="宋体" w:cs="宋体"/>
          <w:color w:val="000000"/>
          <w:sz w:val="32"/>
          <w:szCs w:val="32"/>
        </w:rPr>
        <w:sectPr>
          <w:headerReference w:type="default" r:id="rId9"/>
          <w:headerReference w:type="even" r:id="rId10"/>
          <w:footerReference w:type="default" r:id="rId13"/>
          <w:footerReference w:type="even" r:id="rId14"/>
          <w:footnotePr/>
          <w:endnotePr/>
          <w:type w:val="nextPage"/>
          <w:pgSz w:w="11906" w:h="16838" w:orient="portrait"/>
          <w:pgMar w:top="1440" w:right="1440" w:bottom="1440" w:left="1440" w:header="851" w:footer="850" w:gutter="0"/>
          <w:cols w:num="1" w:sep="0" w:space="1701" w:equalWidth="1"/>
          <w:docGrid w:linePitch="360"/>
          <w:titlePg/>
        </w:sectPr>
      </w:pPr>
      <w:r>
        <w:rPr>
          <w:rFonts w:ascii="宋体" w:hAnsi="宋体" w:cs="宋体"/>
          <w:spacing w:val="7"/>
          <w:sz w:val="30"/>
          <w:szCs w:val="30"/>
        </w:rPr>
        <w:t xml:space="preserve">二〇二</w:t>
      </w:r>
      <w:r>
        <w:rPr>
          <w:rFonts w:hint="eastAsia" w:ascii="宋体" w:hAnsi="宋体" w:cs="宋体"/>
          <w:spacing w:val="7"/>
          <w:sz w:val="30"/>
          <w:szCs w:val="30"/>
        </w:rPr>
        <w:t xml:space="preserve">五</w:t>
      </w:r>
      <w:r>
        <w:rPr>
          <w:rFonts w:ascii="宋体" w:hAnsi="宋体" w:cs="宋体"/>
          <w:spacing w:val="7"/>
          <w:sz w:val="30"/>
          <w:szCs w:val="30"/>
        </w:rPr>
        <w:t xml:space="preserve">年</w:t>
      </w:r>
      <w:r>
        <w:rPr>
          <w:rFonts w:hint="eastAsia" w:ascii="宋体" w:hAnsi="宋体" w:cs="宋体"/>
          <w:spacing w:val="7"/>
          <w:sz w:val="30"/>
          <w:szCs w:val="30"/>
          <w:lang w:val="en-US" w:eastAsia="zh-CN"/>
        </w:rPr>
        <w:t xml:space="preserve">十</w:t>
      </w:r>
      <w:r>
        <w:rPr>
          <w:rFonts w:ascii="宋体" w:hAnsi="宋体" w:cs="宋体"/>
          <w:spacing w:val="7"/>
          <w:sz w:val="30"/>
          <w:szCs w:val="30"/>
        </w:rPr>
        <w:t xml:space="preserve">月</w:t>
      </w:r>
      <w:r/>
    </w:p>
    <w:p>
      <w:pPr>
        <w:jc w:val="center"/>
        <w:outlineLvl w:val="0"/>
      </w:pPr>
      <w:r/>
      <w:bookmarkStart w:id="4" w:name="_Toc7071"/>
      <w:r/>
      <w:bookmarkStart w:id="5" w:name="_Toc10073"/>
      <w:r/>
      <w:bookmarkStart w:id="6" w:name="_Toc1255"/>
      <w:r/>
      <w:bookmarkStart w:id="7" w:name="_Toc150173457"/>
      <w:r/>
      <w:bookmarkStart w:id="8" w:name="_Toc55204177"/>
      <w:r>
        <w:rPr>
          <w:rFonts w:hint="eastAsia" w:ascii="宋体" w:hAnsi="宋体"/>
          <w:b/>
          <w:bCs/>
          <w:color w:val="000000"/>
          <w:sz w:val="34"/>
          <w:szCs w:val="34"/>
        </w:rPr>
        <w:t xml:space="preserve">第一章</w:t>
      </w:r>
      <w:r>
        <w:rPr>
          <w:rFonts w:hint="eastAsia" w:ascii="宋体" w:hAnsi="宋体"/>
          <w:b/>
          <w:bCs/>
          <w:color w:val="000000"/>
          <w:sz w:val="34"/>
          <w:szCs w:val="34"/>
          <w:lang w:val="en-US" w:eastAsia="zh-CN"/>
        </w:rPr>
        <w:t xml:space="preserve">  </w:t>
      </w:r>
      <w:r>
        <w:rPr>
          <w:rFonts w:hint="eastAsia" w:ascii="宋体" w:hAnsi="宋体"/>
          <w:b/>
          <w:bCs/>
          <w:color w:val="000000"/>
          <w:sz w:val="34"/>
          <w:szCs w:val="34"/>
          <w:lang w:eastAsia="zh-CN"/>
        </w:rPr>
        <w:t xml:space="preserve">高邮市龙虬镇人民政府</w:t>
      </w:r>
      <w:r>
        <w:rPr>
          <w:rFonts w:hint="eastAsia" w:ascii="宋体" w:hAnsi="宋体"/>
          <w:b/>
          <w:bCs/>
          <w:color w:val="000000"/>
          <w:sz w:val="34"/>
          <w:szCs w:val="34"/>
        </w:rPr>
        <w:t xml:space="preserve">关于</w:t>
      </w:r>
      <w:bookmarkEnd w:id="4"/>
      <w:r/>
      <w:bookmarkEnd w:id="5"/>
      <w:r/>
      <w:bookmarkEnd w:id="6"/>
      <w:r/>
      <w:bookmarkStart w:id="9" w:name="_Toc20301"/>
      <w:r/>
      <w:bookmarkStart w:id="10" w:name="_Toc14583"/>
      <w:r>
        <w:rPr>
          <w:rFonts w:hint="eastAsia" w:ascii="宋体" w:hAnsi="宋体"/>
          <w:b/>
          <w:bCs/>
          <w:color w:val="000000"/>
          <w:sz w:val="34"/>
          <w:szCs w:val="34"/>
          <w:lang w:eastAsia="zh-CN"/>
        </w:rPr>
        <w:t xml:space="preserve">高邮市龙虬镇政府食堂食材供应公司公开招标项目</w:t>
      </w:r>
      <w:r>
        <w:rPr>
          <w:rFonts w:hint="eastAsia" w:ascii="宋体" w:hAnsi="宋体"/>
          <w:b/>
          <w:bCs/>
          <w:color w:val="000000"/>
          <w:sz w:val="34"/>
          <w:szCs w:val="34"/>
        </w:rPr>
        <w:t xml:space="preserve">招标公告</w:t>
      </w:r>
      <w:bookmarkEnd w:id="7"/>
      <w:r/>
      <w:bookmarkEnd w:id="8"/>
      <w:r/>
      <w:bookmarkEnd w:id="9"/>
      <w:r/>
      <w:bookmarkEnd w:id="10"/>
      <w:r/>
      <w:r/>
    </w:p>
    <w:p>
      <w:pPr>
        <w:ind w:firstLine="420"/>
        <w:spacing w:line="360" w:lineRule="auto"/>
        <w:tabs>
          <w:tab w:val="left" w:pos="266" w:leader="none"/>
        </w:tabs>
        <w:rPr>
          <w:rFonts w:ascii="宋体" w:hAnsi="宋体" w:cs="宋体"/>
        </w:rPr>
      </w:pPr>
      <w:r>
        <w:rPr>
          <w:rFonts w:ascii="宋体" w:hAnsi="宋体" w:cs="宋体"/>
        </w:rPr>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lang w:eastAsia="zh-CN"/>
        </w:rPr>
        <w:t xml:space="preserve">高邮市龙虬镇人民政府</w:t>
      </w:r>
      <w:r>
        <w:rPr>
          <w:rFonts w:hint="eastAsia" w:ascii="宋体" w:hAnsi="宋体" w:cs="宋体"/>
        </w:rPr>
        <w:t xml:space="preserve">的委托，</w:t>
      </w:r>
      <w:r>
        <w:rPr>
          <w:rFonts w:hint="eastAsia" w:ascii="宋体" w:hAnsi="宋体" w:cs="宋体"/>
          <w:u w:val="single"/>
        </w:rPr>
        <w:t xml:space="preserve">扬州华泽工程项目管理咨询有限公司</w:t>
      </w:r>
      <w:r>
        <w:rPr>
          <w:rFonts w:hint="eastAsia" w:ascii="宋体" w:hAnsi="宋体" w:cs="宋体"/>
        </w:rPr>
        <w:t xml:space="preserve">就</w:t>
      </w:r>
      <w:r>
        <w:rPr>
          <w:rFonts w:hint="eastAsia" w:ascii="宋体" w:hAnsi="宋体" w:cs="宋体"/>
          <w:u w:val="single"/>
          <w:lang w:eastAsia="zh-CN"/>
        </w:rPr>
        <w:t xml:space="preserve">高邮市龙虬镇政府食堂食材供应公司公开招标项目</w:t>
      </w:r>
      <w:r>
        <w:rPr>
          <w:rFonts w:hint="eastAsia" w:ascii="宋体" w:hAnsi="宋体" w:cs="宋体"/>
        </w:rPr>
        <w:t xml:space="preserve">进行公开招标采购，欢迎符合条件的供应商投标。</w:t>
      </w:r>
      <w:r/>
    </w:p>
    <w:p>
      <w:pPr>
        <w:ind w:firstLine="422"/>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高邮市龙虬镇政府食堂食材供应公司公开招标项目</w:t>
      </w:r>
      <w:r>
        <w:rPr>
          <w:rFonts w:hint="eastAsia" w:ascii="宋体" w:hAnsi="宋体" w:cs="宋体"/>
          <w:u w:val="single"/>
        </w:rPr>
        <w:t xml:space="preserve"> </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w:t>
      </w:r>
      <w:r>
        <w:rPr>
          <w:rFonts w:hint="eastAsia" w:ascii="宋体" w:hAnsi="宋体" w:cs="宋体"/>
        </w:rPr>
        <w:t xml:space="preserve">自行免费下载招标文件，并于</w:t>
      </w:r>
      <w:r>
        <w:rPr>
          <w:rFonts w:hint="eastAsia" w:ascii="宋体" w:hAnsi="宋体" w:cs="宋体"/>
          <w:bCs/>
          <w:u w:val="single"/>
        </w:rPr>
        <w:t xml:space="preserve">2025年</w:t>
      </w:r>
      <w:r>
        <w:rPr>
          <w:rFonts w:hint="eastAsia" w:ascii="宋体" w:hAnsi="宋体" w:cs="宋体"/>
          <w:bCs/>
          <w:u w:val="single"/>
          <w:lang w:val="en-US" w:eastAsia="zh-CN"/>
        </w:rPr>
        <w:t xml:space="preserve">11</w:t>
      </w:r>
      <w:r>
        <w:rPr>
          <w:rFonts w:hint="eastAsia" w:ascii="宋体" w:hAnsi="宋体" w:cs="宋体"/>
          <w:bCs/>
          <w:u w:val="single"/>
        </w:rPr>
        <w:t xml:space="preserve">月</w:t>
      </w:r>
      <w:r>
        <w:rPr>
          <w:rFonts w:hint="eastAsia" w:ascii="宋体" w:hAnsi="宋体" w:cs="宋体"/>
          <w:bCs/>
          <w:u w:val="single"/>
          <w:lang w:val="en-US" w:eastAsia="zh-CN"/>
        </w:rPr>
        <w:t xml:space="preserve">27</w:t>
      </w:r>
      <w:r>
        <w:rPr>
          <w:rFonts w:hint="eastAsia" w:ascii="宋体" w:hAnsi="宋体" w:cs="宋体"/>
          <w:bCs/>
          <w:u w:val="single"/>
        </w:rPr>
        <w:t xml:space="preserve">日9:00（</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outlineLvl w:val="1"/>
      </w:pPr>
      <w:r/>
      <w:bookmarkStart w:id="11" w:name="_Toc2904"/>
      <w:r/>
      <w:bookmarkStart w:id="12" w:name="_Toc35393790"/>
      <w:r/>
      <w:bookmarkStart w:id="13" w:name="_Toc28359002"/>
      <w:r/>
      <w:bookmarkStart w:id="14" w:name="_Toc24585"/>
      <w:r/>
      <w:bookmarkStart w:id="15" w:name="_Toc38985263"/>
      <w:r/>
      <w:bookmarkStart w:id="16" w:name="_Toc22574"/>
      <w:r/>
      <w:bookmarkStart w:id="17" w:name="_Toc35393621"/>
      <w:r/>
      <w:bookmarkStart w:id="18" w:name="_Toc28359079"/>
      <w:r/>
      <w:bookmarkStart w:id="19" w:name="_Hlk24379207"/>
      <w:r>
        <w:rPr>
          <w:rFonts w:hint="eastAsia" w:ascii="宋体" w:hAnsi="宋体" w:cs="宋体"/>
          <w:b/>
          <w:bCs/>
        </w:rPr>
        <w:t xml:space="preserve">一、项目基本情况</w:t>
      </w:r>
      <w:bookmarkEnd w:id="11"/>
      <w:r/>
      <w:bookmarkEnd w:id="12"/>
      <w:r/>
      <w:bookmarkEnd w:id="13"/>
      <w:r/>
      <w:bookmarkEnd w:id="14"/>
      <w:r/>
      <w:bookmarkEnd w:id="15"/>
      <w:r/>
      <w:bookmarkEnd w:id="16"/>
      <w:r/>
      <w:bookmarkEnd w:id="17"/>
      <w:r/>
      <w:bookmarkEnd w:id="18"/>
      <w:r/>
      <w:r/>
    </w:p>
    <w:p>
      <w:pPr>
        <w:ind w:firstLine="420"/>
        <w:spacing w:line="360" w:lineRule="auto"/>
        <w:rPr>
          <w:rFonts w:hint="default" w:ascii="宋体" w:hAnsi="宋体" w:eastAsia="宋体" w:cs="宋体"/>
          <w:lang w:val="en-US" w:eastAsia="zh-CN"/>
        </w:rPr>
      </w:pPr>
      <w:r/>
      <w:bookmarkStart w:id="20" w:name="_Toc21609"/>
      <w:r/>
      <w:bookmarkStart w:id="21" w:name="_Toc17018"/>
      <w:r>
        <w:rPr>
          <w:rFonts w:hint="eastAsia" w:ascii="宋体" w:hAnsi="宋体" w:cs="宋体"/>
        </w:rPr>
        <w:t xml:space="preserve">1.项目编号：</w:t>
      </w:r>
      <w:bookmarkEnd w:id="20"/>
      <w:r/>
      <w:bookmarkEnd w:id="21"/>
      <w:r>
        <w:rPr>
          <w:rFonts w:hint="eastAsia" w:ascii="宋体" w:hAnsi="宋体" w:cs="宋体"/>
        </w:rPr>
        <w:t xml:space="preserve">JSZC-321084-YZHZ-G2025-00</w:t>
      </w:r>
      <w:r>
        <w:rPr>
          <w:rFonts w:hint="eastAsia" w:ascii="宋体" w:hAnsi="宋体" w:cs="宋体"/>
          <w:lang w:val="en-US" w:eastAsia="zh-CN"/>
        </w:rPr>
        <w:t xml:space="preserve">24</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bookmarkEnd w:id="19"/>
      <w:r>
        <w:rPr>
          <w:rFonts w:hint="eastAsia" w:ascii="宋体" w:hAnsi="宋体" w:cs="宋体"/>
          <w:lang w:eastAsia="zh-CN"/>
        </w:rPr>
        <w:t xml:space="preserve">高邮市龙虬镇政府食堂食材供应公司公开招标项目</w:t>
      </w:r>
      <w:r/>
    </w:p>
    <w:p>
      <w:pPr>
        <w:ind w:firstLine="420"/>
        <w:spacing w:line="360" w:lineRule="auto"/>
        <w:rPr>
          <w:rFonts w:hint="default" w:ascii="宋体" w:hAnsi="宋体" w:eastAsia="宋体" w:cs="宋体"/>
          <w:lang w:val="en-US" w:eastAsia="zh-CN"/>
        </w:rPr>
      </w:pPr>
      <w:r/>
      <w:bookmarkStart w:id="22" w:name="_Toc35393791"/>
      <w:r/>
      <w:bookmarkStart w:id="23" w:name="_Toc28359080"/>
      <w:r/>
      <w:bookmarkStart w:id="24" w:name="_Toc24912"/>
      <w:r/>
      <w:bookmarkStart w:id="25" w:name="_Toc31055"/>
      <w:r/>
      <w:bookmarkStart w:id="26" w:name="_Toc28359003"/>
      <w:r/>
      <w:bookmarkStart w:id="27" w:name="_Toc35393622"/>
      <w:r/>
      <w:bookmarkStart w:id="28" w:name="_Toc38985264"/>
      <w:r/>
      <w:bookmarkStart w:id="29" w:name="_Toc100"/>
      <w:r>
        <w:rPr>
          <w:rFonts w:hint="eastAsia" w:ascii="宋体" w:hAnsi="宋体" w:cs="宋体"/>
        </w:rPr>
        <w:t xml:space="preserve">3.预算金额：</w:t>
      </w:r>
      <w:r>
        <w:rPr>
          <w:rFonts w:hint="eastAsia" w:ascii="宋体" w:hAnsi="宋体" w:cs="宋体"/>
          <w:lang w:val="en-US" w:eastAsia="zh-CN"/>
        </w:rPr>
        <w:t xml:space="preserve">约105</w:t>
      </w:r>
      <w:r>
        <w:rPr>
          <w:rFonts w:hint="eastAsia" w:ascii="宋体" w:hAnsi="宋体" w:cs="宋体"/>
        </w:rPr>
        <w:t xml:space="preserve">万元</w:t>
      </w:r>
      <w:r>
        <w:rPr>
          <w:rFonts w:hint="eastAsia" w:ascii="宋体" w:hAnsi="宋体" w:cs="宋体"/>
          <w:lang w:val="en-US" w:eastAsia="zh-CN"/>
        </w:rPr>
        <w:t xml:space="preserve">，本项目采用优惠率（即下浮率）的形式进行报价。最高限价为配送食材当天的扬州市发改委网站“价格监测”栏目《扬州市区农贸市场主副食品均价》表中零售均价的100%。</w:t>
      </w:r>
      <w:r/>
    </w:p>
    <w:p>
      <w:pPr>
        <w:ind w:firstLine="420"/>
        <w:spacing w:line="360" w:lineRule="auto"/>
        <w:rPr>
          <w:rFonts w:ascii="宋体" w:hAnsi="宋体" w:cs="宋体"/>
        </w:rPr>
      </w:pPr>
      <w:r>
        <w:rPr>
          <w:rFonts w:hint="eastAsia" w:ascii="宋体" w:hAnsi="宋体" w:cs="宋体"/>
        </w:rPr>
        <w:t xml:space="preserve">4.采购需求：高邮市龙虬镇政府食堂食材供货及配送，采购以下物资：包括但不限于蔬菜类、禽蛋豆制品类、水产类、肉类、水果类、速食类、</w:t>
      </w:r>
      <w:r>
        <w:rPr>
          <w:rFonts w:hint="eastAsia" w:ascii="宋体" w:hAnsi="宋体" w:cs="宋体"/>
          <w:lang w:val="en-US" w:eastAsia="zh-CN"/>
        </w:rPr>
        <w:t xml:space="preserve">米</w:t>
      </w:r>
      <w:r>
        <w:rPr>
          <w:rFonts w:hint="eastAsia" w:ascii="宋体" w:hAnsi="宋体" w:cs="宋体"/>
        </w:rPr>
        <w:t xml:space="preserve">面类、乳制品类等。</w:t>
      </w:r>
      <w:r/>
    </w:p>
    <w:p>
      <w:pPr>
        <w:ind w:firstLine="420"/>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.合同履行期限：一年。</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pPr>
      <w:r>
        <w:rPr>
          <w:rFonts w:hint="eastAsia" w:ascii="宋体" w:hAnsi="宋体" w:cs="宋体"/>
          <w:lang w:val="en-US" w:eastAsia="zh-CN"/>
        </w:rPr>
        <w:t xml:space="preserve">7</w:t>
      </w: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二、申请人的资格要求：</w:t>
      </w:r>
      <w:bookmarkEnd w:id="22"/>
      <w:r/>
      <w:bookmarkEnd w:id="23"/>
      <w:r/>
      <w:bookmarkEnd w:id="24"/>
      <w:r/>
      <w:bookmarkEnd w:id="25"/>
      <w:r/>
      <w:bookmarkEnd w:id="26"/>
      <w:r/>
      <w:bookmarkEnd w:id="27"/>
      <w:r/>
      <w:bookmarkEnd w:id="28"/>
      <w:r/>
      <w:bookmarkEnd w:id="29"/>
      <w:r/>
      <w:r/>
    </w:p>
    <w:p>
      <w:pPr>
        <w:ind w:firstLine="420"/>
        <w:spacing w:line="360" w:lineRule="auto"/>
        <w:rPr>
          <w:rFonts w:ascii="宋体" w:hAnsi="宋体" w:cs="宋体"/>
          <w:szCs w:val="21"/>
        </w:rPr>
      </w:pPr>
      <w:r/>
      <w:bookmarkStart w:id="30" w:name="_Toc35393623"/>
      <w:r/>
      <w:bookmarkStart w:id="31" w:name="_Toc28359004"/>
      <w:r/>
      <w:bookmarkStart w:id="32" w:name="_Toc28359081"/>
      <w:r/>
      <w:bookmarkStart w:id="33" w:name="_Toc38985265"/>
      <w:r/>
      <w:bookmarkStart w:id="34" w:name="_Toc35393792"/>
      <w:r>
        <w:rPr>
          <w:rFonts w:hint="eastAsia" w:ascii="宋体" w:hAnsi="宋体" w:cs="宋体"/>
          <w:szCs w:val="21"/>
        </w:rPr>
        <w:t xml:space="preserve">1.满足《中华人民共和国政府采购法》第二十二条规定，并提供下列材料：</w:t>
      </w:r>
      <w:r/>
    </w:p>
    <w:p>
      <w:pPr>
        <w:spacing w:line="360" w:lineRule="auto"/>
        <w:tabs>
          <w:tab w:val="left" w:pos="266" w:leader="none"/>
        </w:tabs>
        <w:rPr>
          <w:rFonts w:ascii="宋体" w:hAnsi="宋体" w:cs="宋体"/>
          <w:i/>
          <w:iCs/>
          <w:szCs w:val="21"/>
          <w:u w:val="single"/>
        </w:rPr>
        <w:outlineLvl w:val="1"/>
      </w:pPr>
      <w:r/>
      <w:bookmarkStart w:id="35" w:name="_Toc27325"/>
      <w:r/>
      <w:bookmarkStart w:id="36" w:name="_Toc20796"/>
      <w:r/>
      <w:bookmarkStart w:id="37" w:name="_Toc23766"/>
      <w:r>
        <w:rPr>
          <w:rFonts w:hint="eastAsia" w:ascii="宋体" w:hAnsi="宋体" w:cs="宋体"/>
          <w:i/>
          <w:iCs/>
          <w:szCs w:val="21"/>
          <w:u w:val="single"/>
        </w:rPr>
        <w:t xml:space="preserve">1、满足《中华人民共和国政府采购法》第二十二条规定，并提供下列材料：</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1.1法人或者其他组织的营业执照等证明文件，自然人的身份证明；</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1.3供应商近三个月内任意一份依法纳税的缴款凭证（供应商依法享受缓缴、免缴的提供证明材料）；</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1.4上一年度的财务报告情况（成立不满一年不需提供）；</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1.5具备履行合同所必需的设备和专业技术能力的证明材料；</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1.6参加本次政府采购活动前3年内在经营活动中没有重大违法记录的书面声明（原件）；</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1.8供应商信用承诺书；</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1.9投标函；</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1.10法人授权书。</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2.落实政府采购政策需满足的资格要求：根据《政府采购促进中小企业发展管理办法》的规定，本项目面向中小企业采购，投标人投标时须提供《中小企业声明函》，《中小企业声明函》不符合要求或未提供的，投标文件无效。本项目采购标的按中小企业划分标准所属行业区分为</w:t>
      </w:r>
      <w:r>
        <w:rPr>
          <w:rFonts w:hint="eastAsia" w:ascii="宋体" w:hAnsi="宋体" w:cs="宋体"/>
          <w:i/>
          <w:iCs/>
          <w:szCs w:val="21"/>
          <w:u w:val="single"/>
          <w:lang w:val="en-US" w:eastAsia="zh-CN"/>
        </w:rPr>
        <w:t xml:space="preserve">批发</w:t>
      </w:r>
      <w:r>
        <w:rPr>
          <w:rFonts w:hint="eastAsia" w:ascii="宋体" w:hAnsi="宋体" w:cs="宋体"/>
          <w:i/>
          <w:iCs/>
          <w:szCs w:val="21"/>
          <w:u w:val="single"/>
        </w:rPr>
        <w:t xml:space="preserve">业。</w:t>
      </w:r>
      <w:r/>
    </w:p>
    <w:p>
      <w:pPr>
        <w:spacing w:line="360" w:lineRule="auto"/>
        <w:tabs>
          <w:tab w:val="left" w:pos="266" w:leader="none"/>
        </w:tabs>
        <w:rPr>
          <w:rFonts w:ascii="宋体" w:hAnsi="宋体" w:cs="宋体"/>
          <w:i/>
          <w:iCs/>
          <w:szCs w:val="21"/>
          <w:u w:val="single"/>
        </w:rPr>
        <w:outlineLvl w:val="1"/>
      </w:pPr>
      <w:r>
        <w:rPr>
          <w:rFonts w:hint="eastAsia" w:ascii="宋体" w:hAnsi="宋体" w:cs="宋体"/>
          <w:i/>
          <w:iCs/>
          <w:szCs w:val="21"/>
          <w:u w:val="single"/>
        </w:rPr>
        <w:t xml:space="preserve">3.本项目的特定资格要求：</w:t>
      </w:r>
      <w:r>
        <w:rPr>
          <w:rFonts w:hint="eastAsia" w:ascii="宋体" w:hAnsi="宋体" w:cs="宋体"/>
          <w:b/>
          <w:bCs/>
          <w:i/>
          <w:iCs/>
          <w:szCs w:val="21"/>
          <w:u w:val="single"/>
        </w:rPr>
        <w:t xml:space="preserve">投标人具有有效的《食品经营许可证》或《食品生产许可证》。</w:t>
      </w:r>
      <w:r/>
    </w:p>
    <w:p>
      <w:pPr>
        <w:spacing w:line="360" w:lineRule="auto"/>
        <w:tabs>
          <w:tab w:val="left" w:pos="266" w:leader="none"/>
        </w:tabs>
        <w:rPr>
          <w:rFonts w:ascii="宋体" w:hAnsi="宋体" w:cs="宋体"/>
          <w:b/>
          <w:bCs/>
        </w:rPr>
        <w:outlineLvl w:val="1"/>
      </w:pPr>
      <w:r>
        <w:rPr>
          <w:rFonts w:hint="eastAsia" w:ascii="宋体" w:hAnsi="宋体" w:cs="宋体"/>
          <w:b/>
          <w:bCs/>
        </w:rPr>
        <w:t xml:space="preserve">三、获取招标文件</w:t>
      </w:r>
      <w:bookmarkEnd w:id="30"/>
      <w:r/>
      <w:bookmarkEnd w:id="31"/>
      <w:r/>
      <w:bookmarkEnd w:id="32"/>
      <w:r/>
      <w:bookmarkEnd w:id="33"/>
      <w:r/>
      <w:bookmarkEnd w:id="34"/>
      <w:r/>
      <w:bookmarkEnd w:id="35"/>
      <w:r/>
      <w:bookmarkEnd w:id="36"/>
      <w:r/>
      <w:bookmarkEnd w:id="37"/>
      <w:r/>
      <w:r/>
    </w:p>
    <w:p>
      <w:pPr>
        <w:ind w:firstLine="420"/>
        <w:spacing w:line="360" w:lineRule="auto"/>
        <w:rPr>
          <w:rFonts w:ascii="宋体" w:hAnsi="宋体" w:cs="宋体"/>
          <w:b/>
          <w:bCs/>
        </w:rPr>
      </w:pPr>
      <w:r/>
      <w:bookmarkStart w:id="38" w:name="_Toc28359082"/>
      <w:r/>
      <w:bookmarkStart w:id="39" w:name="_Toc28359005"/>
      <w:r/>
      <w:bookmarkStart w:id="40" w:name="_Toc38985266"/>
      <w:r/>
      <w:bookmarkStart w:id="41" w:name="_Toc35393793"/>
      <w:r/>
      <w:bookmarkStart w:id="42" w:name="_Toc35393624"/>
      <w:r>
        <w:rPr>
          <w:rFonts w:hint="eastAsia" w:ascii="宋体" w:hAnsi="宋体" w:cs="宋体"/>
          <w:b/>
          <w:bCs/>
        </w:rPr>
        <w:t xml:space="preserve">1.时间：自招标公告发布之日起5个工作日。5个工作日后仍可下载采购文件，但不作为供应商权益受到损害的证明材料和依据。</w:t>
      </w:r>
      <w:r/>
    </w:p>
    <w:p>
      <w:pPr>
        <w:ind w:firstLine="420"/>
        <w:spacing w:line="360" w:lineRule="auto"/>
      </w:pPr>
      <w:r/>
      <w:bookmarkStart w:id="43" w:name="_Toc30"/>
      <w:r/>
      <w:bookmarkStart w:id="44" w:name="_Toc3639"/>
      <w:r>
        <w:rPr>
          <w:rFonts w:hint="eastAsia" w:ascii="宋体" w:hAnsi="宋体" w:cs="宋体"/>
          <w:b/>
          <w:bCs/>
        </w:rPr>
        <w:t xml:space="preserve">2.获取方式：本项目采用网上注册登记方式。</w:t>
      </w:r>
      <w:bookmarkEnd w:id="43"/>
      <w:r/>
      <w:bookmarkEnd w:id="44"/>
      <w:r/>
      <w:r/>
    </w:p>
    <w:p>
      <w:pPr>
        <w:ind w:firstLine="420"/>
        <w:spacing w:line="360" w:lineRule="auto"/>
        <w:rPr>
          <w:rFonts w:ascii="宋体" w:hAnsi="宋体" w:cs="宋体"/>
          <w:b/>
          <w:bCs/>
        </w:rPr>
      </w:pPr>
      <w:r>
        <w:rPr>
          <w:rFonts w:hint="eastAsia" w:ascii="宋体" w:hAnsi="宋体" w:cs="宋体"/>
          <w:b/>
          <w:bCs/>
        </w:rPr>
        <w:t xml:space="preserve">3.潜在供应商访问政府采购管理交易系统（苏采云）的网络地址和方法：</w:t>
      </w:r>
      <w:r/>
    </w:p>
    <w:p>
      <w:pPr>
        <w:ind w:firstLine="420"/>
        <w:spacing w:line="360" w:lineRule="auto"/>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
          <w:bCs/>
        </w:rPr>
      </w:pPr>
      <w:r>
        <w:rPr>
          <w:rFonts w:hint="eastAsia" w:ascii="宋体" w:hAnsi="宋体" w:cs="宋体"/>
          <w:b/>
          <w:bCs/>
        </w:rPr>
        <w:t xml:space="preserve">（3）“CA数字证书”的办理材料以及供应商操作手册详见：</w:t>
      </w:r>
      <w:r/>
    </w:p>
    <w:p>
      <w:pPr>
        <w:spacing w:line="360" w:lineRule="auto"/>
        <w:rPr>
          <w:rFonts w:ascii="宋体" w:hAnsi="宋体" w:cs="宋体"/>
          <w:b/>
          <w:bCs/>
        </w:rPr>
      </w:pPr>
      <w:r>
        <w:rPr>
          <w:rFonts w:hint="eastAsia" w:ascii="宋体" w:hAnsi="宋体" w:cs="宋体"/>
          <w:b/>
          <w:bCs/>
        </w:rPr>
        <w:t xml:space="preserve">http://zfcg.yangzhou.gov.cn/zfcg/xzzx/202309/4d7de1f7865f4a2894fc22bc452f94d8.shtml。</w:t>
      </w:r>
      <w:r/>
    </w:p>
    <w:p>
      <w:pPr>
        <w:ind w:firstLine="420"/>
        <w:spacing w:line="360" w:lineRule="auto"/>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0"/>
        <w:spacing w:line="360" w:lineRule="auto"/>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outlineLvl w:val="1"/>
      </w:pPr>
      <w:r/>
      <w:bookmarkStart w:id="45" w:name="_Toc24345"/>
      <w:r/>
      <w:bookmarkStart w:id="46" w:name="_Toc13045"/>
      <w:r/>
      <w:bookmarkStart w:id="47" w:name="_Toc23401"/>
      <w:r>
        <w:rPr>
          <w:rFonts w:hint="eastAsia" w:ascii="宋体" w:hAnsi="宋体" w:cs="宋体"/>
          <w:b/>
          <w:bCs/>
        </w:rPr>
        <w:t xml:space="preserve">四、提交投标文件</w:t>
      </w:r>
      <w:bookmarkEnd w:id="38"/>
      <w:r/>
      <w:bookmarkEnd w:id="39"/>
      <w:r>
        <w:rPr>
          <w:rFonts w:hint="eastAsia" w:ascii="宋体" w:hAnsi="宋体" w:cs="宋体"/>
          <w:b/>
          <w:bCs/>
        </w:rPr>
        <w:t xml:space="preserve">截止时间、开标时间和地点</w:t>
      </w:r>
      <w:bookmarkEnd w:id="40"/>
      <w:r/>
      <w:bookmarkEnd w:id="41"/>
      <w:r/>
      <w:bookmarkEnd w:id="42"/>
      <w:r/>
      <w:bookmarkEnd w:id="45"/>
      <w:r/>
      <w:bookmarkEnd w:id="46"/>
      <w:r/>
      <w:bookmarkEnd w:id="47"/>
      <w:r/>
      <w:r/>
    </w:p>
    <w:p>
      <w:pPr>
        <w:ind w:firstLine="420"/>
        <w:spacing w:line="360" w:lineRule="auto"/>
        <w:rPr>
          <w:rFonts w:ascii="宋体" w:hAnsi="宋体" w:cs="宋体"/>
        </w:rPr>
      </w:pPr>
      <w:r/>
      <w:bookmarkStart w:id="48" w:name="_Toc9537"/>
      <w:r/>
      <w:bookmarkStart w:id="49" w:name="_Toc2365"/>
      <w:r>
        <w:rPr>
          <w:rFonts w:hint="eastAsia" w:ascii="宋体" w:hAnsi="宋体" w:cs="宋体"/>
        </w:rPr>
        <w:t xml:space="preserve">1.时间：</w:t>
      </w:r>
      <w:r>
        <w:rPr>
          <w:rFonts w:hint="eastAsia" w:ascii="宋体" w:hAnsi="宋体" w:cs="宋体"/>
          <w:u w:val="single"/>
        </w:rPr>
        <w:t xml:space="preserve">2025年</w:t>
      </w:r>
      <w:r>
        <w:rPr>
          <w:rFonts w:hint="eastAsia" w:ascii="宋体" w:hAnsi="宋体" w:cs="宋体"/>
          <w:u w:val="single"/>
          <w:lang w:val="en-US" w:eastAsia="zh-CN"/>
        </w:rPr>
        <w:t xml:space="preserve">11</w:t>
      </w:r>
      <w:r>
        <w:rPr>
          <w:rFonts w:hint="eastAsia" w:ascii="宋体" w:hAnsi="宋体" w:cs="宋体"/>
          <w:u w:val="single"/>
        </w:rPr>
        <w:t xml:space="preserve">月</w:t>
      </w:r>
      <w:r>
        <w:rPr>
          <w:rFonts w:hint="eastAsia" w:ascii="宋体" w:hAnsi="宋体" w:cs="宋体"/>
          <w:u w:val="single"/>
          <w:lang w:val="en-US" w:eastAsia="zh-CN"/>
        </w:rPr>
        <w:t xml:space="preserve">27</w:t>
      </w:r>
      <w:r>
        <w:rPr>
          <w:rFonts w:hint="eastAsia" w:ascii="宋体" w:hAnsi="宋体" w:cs="宋体"/>
          <w:u w:val="single"/>
        </w:rPr>
        <w:t xml:space="preserve">日9:00</w:t>
      </w:r>
      <w:r>
        <w:rPr>
          <w:rFonts w:hint="eastAsia" w:ascii="宋体" w:hAnsi="宋体" w:cs="宋体"/>
        </w:rPr>
        <w:t xml:space="preserve">（北京时间）</w:t>
      </w:r>
      <w:bookmarkEnd w:id="48"/>
      <w:r/>
      <w:bookmarkEnd w:id="49"/>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outlineLvl w:val="1"/>
      </w:pPr>
      <w:r/>
      <w:bookmarkStart w:id="50" w:name="_Toc28359084"/>
      <w:r/>
      <w:bookmarkStart w:id="51" w:name="_Toc29475"/>
      <w:r/>
      <w:bookmarkStart w:id="52" w:name="_Toc38985267"/>
      <w:r/>
      <w:bookmarkStart w:id="53" w:name="_Toc35393794"/>
      <w:r/>
      <w:bookmarkStart w:id="54" w:name="_Toc2115"/>
      <w:r/>
      <w:bookmarkStart w:id="55" w:name="_Toc28359007"/>
      <w:r/>
      <w:bookmarkStart w:id="56" w:name="_Toc35393625"/>
      <w:r/>
      <w:bookmarkStart w:id="57" w:name="_Toc16125"/>
      <w:r>
        <w:rPr>
          <w:rFonts w:hint="eastAsia" w:ascii="宋体" w:hAnsi="宋体" w:cs="宋体"/>
          <w:b/>
          <w:bCs/>
        </w:rPr>
        <w:t xml:space="preserve">五、公告期限</w:t>
      </w:r>
      <w:bookmarkEnd w:id="50"/>
      <w:r/>
      <w:bookmarkEnd w:id="51"/>
      <w:r/>
      <w:bookmarkEnd w:id="52"/>
      <w:r/>
      <w:bookmarkEnd w:id="53"/>
      <w:r/>
      <w:bookmarkEnd w:id="54"/>
      <w:r/>
      <w:bookmarkEnd w:id="55"/>
      <w:r/>
      <w:bookmarkEnd w:id="56"/>
      <w:r/>
      <w:bookmarkEnd w:id="57"/>
      <w:r/>
      <w:r/>
    </w:p>
    <w:p>
      <w:pPr>
        <w:ind w:firstLine="420"/>
        <w:spacing w:line="360" w:lineRule="auto"/>
        <w:rPr>
          <w:rFonts w:ascii="宋体" w:hAnsi="宋体" w:cs="宋体"/>
        </w:rPr>
      </w:pPr>
      <w:r/>
      <w:bookmarkStart w:id="58" w:name="_Toc38985268"/>
      <w:r/>
      <w:bookmarkStart w:id="59" w:name="_Toc35393626"/>
      <w:r/>
      <w:bookmarkStart w:id="6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outlineLvl w:val="1"/>
      </w:pPr>
      <w:r/>
      <w:bookmarkStart w:id="61" w:name="_Toc32321"/>
      <w:r/>
      <w:bookmarkStart w:id="62" w:name="_Toc2618"/>
      <w:r/>
      <w:bookmarkStart w:id="63" w:name="_Toc23246"/>
      <w:r>
        <w:rPr>
          <w:rFonts w:hint="eastAsia" w:ascii="宋体" w:hAnsi="宋体" w:cs="宋体"/>
          <w:b/>
          <w:bCs/>
        </w:rPr>
        <w:t xml:space="preserve">六、</w:t>
      </w:r>
      <w:bookmarkEnd w:id="58"/>
      <w:r/>
      <w:bookmarkEnd w:id="59"/>
      <w:r/>
      <w:bookmarkEnd w:id="60"/>
      <w:r/>
      <w:bookmarkEnd w:id="61"/>
      <w:r/>
      <w:bookmarkEnd w:id="62"/>
      <w:r/>
      <w:bookmarkEnd w:id="63"/>
      <w:r/>
      <w:bookmarkStart w:id="64" w:name="_Toc23688"/>
      <w:r/>
      <w:bookmarkStart w:id="65" w:name="_Toc38985269"/>
      <w:r/>
      <w:bookmarkStart w:id="66" w:name="_Toc28359008"/>
      <w:r/>
      <w:bookmarkStart w:id="67" w:name="_Toc35393796"/>
      <w:r/>
      <w:bookmarkStart w:id="68" w:name="_Toc28359085"/>
      <w:r/>
      <w:bookmarkStart w:id="69" w:name="_Toc29069"/>
      <w:r/>
      <w:bookmarkStart w:id="70" w:name="_Toc18694"/>
      <w:r/>
      <w:bookmarkStart w:id="71" w:name="_Toc35393627"/>
      <w:r>
        <w:rPr>
          <w:rFonts w:hint="eastAsia" w:ascii="宋体" w:hAnsi="宋体" w:cs="宋体"/>
          <w:b/>
          <w:bCs/>
        </w:rPr>
        <w:t xml:space="preserve">本次招标联系方式</w:t>
      </w:r>
      <w:bookmarkEnd w:id="64"/>
      <w:r/>
      <w:bookmarkEnd w:id="65"/>
      <w:r/>
      <w:bookmarkEnd w:id="66"/>
      <w:r/>
      <w:bookmarkEnd w:id="67"/>
      <w:r/>
      <w:bookmarkEnd w:id="68"/>
      <w:r/>
      <w:bookmarkEnd w:id="69"/>
      <w:r/>
      <w:bookmarkEnd w:id="70"/>
      <w:r/>
      <w:bookmarkEnd w:id="71"/>
      <w:r/>
      <w:r/>
    </w:p>
    <w:p>
      <w:pPr>
        <w:ind w:firstLine="420"/>
        <w:spacing w:line="360" w:lineRule="auto"/>
        <w:rPr>
          <w:rFonts w:ascii="宋体" w:hAnsi="宋体" w:cs="宋体"/>
        </w:rPr>
      </w:pPr>
      <w:r/>
      <w:bookmarkStart w:id="72" w:name="_Toc25700"/>
      <w:r/>
      <w:bookmarkStart w:id="73" w:name="_Toc29369"/>
      <w:r/>
      <w:bookmarkStart w:id="74" w:name="XMJBRDH_1"/>
      <w:r/>
      <w:bookmarkStart w:id="75" w:name="_Toc28359010"/>
      <w:r/>
      <w:bookmarkStart w:id="76" w:name="_Toc28359087"/>
      <w:r>
        <w:rPr>
          <w:rFonts w:hint="eastAsia" w:ascii="宋体" w:hAnsi="宋体" w:cs="宋体"/>
        </w:rPr>
        <w:t xml:space="preserve">1.采购人信息</w:t>
      </w:r>
      <w:bookmarkEnd w:id="72"/>
      <w:r/>
      <w:bookmarkEnd w:id="73"/>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lang w:eastAsia="zh-CN"/>
        </w:rPr>
        <w:t xml:space="preserve">高邮市龙虬镇人民政府</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w:t>
      </w:r>
      <w:r>
        <w:rPr>
          <w:rFonts w:hint="eastAsia" w:ascii="宋体" w:hAnsi="宋体" w:cs="宋体"/>
          <w:u w:val="single"/>
          <w:lang w:val="en-US" w:eastAsia="zh-CN"/>
        </w:rPr>
        <w:t xml:space="preserve">龙虬</w:t>
      </w:r>
      <w:r>
        <w:rPr>
          <w:rFonts w:hint="eastAsia" w:ascii="宋体" w:hAnsi="宋体" w:cs="宋体"/>
          <w:u w:val="single"/>
        </w:rPr>
        <w:t xml:space="preserve">镇</w:t>
      </w:r>
      <w:r/>
    </w:p>
    <w:p>
      <w:pPr>
        <w:ind w:firstLine="420"/>
        <w:spacing w:line="360" w:lineRule="auto"/>
        <w:rPr>
          <w:rFonts w:ascii="宋体" w:hAnsi="宋体" w:cs="宋体"/>
        </w:rPr>
      </w:pPr>
      <w:r/>
      <w:bookmarkStart w:id="77" w:name="_Toc1979"/>
      <w:r/>
      <w:bookmarkStart w:id="78" w:name="_Toc22260"/>
      <w:r>
        <w:rPr>
          <w:rFonts w:hint="eastAsia" w:ascii="宋体" w:hAnsi="宋体" w:cs="宋体"/>
        </w:rPr>
        <w:t xml:space="preserve">联系人：</w:t>
      </w:r>
      <w:r>
        <w:rPr>
          <w:rFonts w:hint="eastAsia" w:ascii="宋体" w:hAnsi="宋体" w:cs="宋体"/>
          <w:u w:val="single"/>
          <w:lang w:val="en-US" w:eastAsia="zh-CN"/>
        </w:rPr>
        <w:t xml:space="preserve"> 何</w:t>
      </w:r>
      <w:r>
        <w:rPr>
          <w:rFonts w:hint="eastAsia" w:ascii="宋体" w:hAnsi="宋体" w:cs="宋体"/>
          <w:u w:val="single"/>
        </w:rPr>
        <w:t xml:space="preserve">先生</w:t>
      </w:r>
      <w:r/>
    </w:p>
    <w:p>
      <w:pPr>
        <w:ind w:firstLine="420"/>
        <w:spacing w:line="360" w:lineRule="auto"/>
        <w:rPr>
          <w:rFonts w:hint="eastAsia" w:ascii="宋体" w:hAnsi="宋体" w:cs="宋体"/>
          <w:u w:val="single"/>
        </w:rPr>
      </w:pPr>
      <w:r>
        <w:rPr>
          <w:rFonts w:hint="eastAsia" w:ascii="宋体" w:hAnsi="宋体" w:cs="宋体"/>
        </w:rPr>
        <w:t xml:space="preserve">联系电话：</w:t>
      </w:r>
      <w:r>
        <w:rPr>
          <w:rFonts w:hint="eastAsia" w:ascii="宋体" w:hAnsi="宋体" w:cs="宋体"/>
          <w:u w:val="single"/>
        </w:rPr>
        <w:t xml:space="preserve">15152779099</w:t>
      </w:r>
      <w:r/>
    </w:p>
    <w:p>
      <w:pPr>
        <w:ind w:firstLine="420"/>
        <w:spacing w:line="360" w:lineRule="auto"/>
        <w:rPr>
          <w:rFonts w:ascii="宋体" w:hAnsi="宋体" w:cs="宋体"/>
        </w:rPr>
      </w:pPr>
      <w:r>
        <w:rPr>
          <w:rFonts w:hint="eastAsia" w:ascii="宋体" w:hAnsi="宋体" w:cs="宋体"/>
        </w:rPr>
        <w:t xml:space="preserve">2.采购代理机构信息</w:t>
      </w:r>
      <w:bookmarkEnd w:id="77"/>
      <w:r/>
      <w:bookmarkEnd w:id="78"/>
      <w:r/>
      <w:r/>
    </w:p>
    <w:p>
      <w:pPr>
        <w:ind w:firstLine="420"/>
        <w:spacing w:line="360" w:lineRule="auto"/>
        <w:rPr>
          <w:rFonts w:ascii="宋体" w:hAnsi="宋体" w:cs="宋体"/>
          <w:u w:val="single"/>
        </w:rPr>
      </w:pPr>
      <w:r>
        <w:rPr>
          <w:rFonts w:hint="eastAsia" w:ascii="宋体" w:hAnsi="宋体" w:cs="宋体"/>
        </w:rPr>
        <w:t xml:space="preserve">名</w:t>
      </w:r>
      <w:r>
        <w:rPr>
          <w:rFonts w:hint="eastAsia" w:ascii="宋体" w:hAnsi="宋体" w:cs="宋体"/>
        </w:rPr>
        <w:tab/>
      </w:r>
      <w:r>
        <w:rPr>
          <w:rFonts w:hint="eastAsia" w:ascii="宋体" w:hAnsi="宋体" w:cs="宋体"/>
        </w:rPr>
        <w:t xml:space="preserve">称：</w:t>
      </w:r>
      <w:r>
        <w:rPr>
          <w:rFonts w:hint="eastAsia" w:ascii="宋体" w:hAnsi="宋体" w:cs="宋体"/>
          <w:u w:val="single"/>
        </w:rPr>
        <w:t xml:space="preserve">扬州华泽工程项目管理咨询有限公司</w:t>
      </w:r>
      <w:r/>
    </w:p>
    <w:p>
      <w:pPr>
        <w:ind w:firstLine="420"/>
        <w:spacing w:line="360" w:lineRule="auto"/>
        <w:rPr>
          <w:rFonts w:ascii="宋体" w:hAnsi="宋体" w:cs="宋体"/>
          <w:u w:val="single"/>
        </w:rPr>
      </w:pPr>
      <w:r>
        <w:rPr>
          <w:rFonts w:hint="eastAsia" w:ascii="宋体" w:hAnsi="宋体" w:cs="宋体"/>
        </w:rPr>
        <w:t xml:space="preserve">地</w:t>
      </w:r>
      <w:r>
        <w:rPr>
          <w:rFonts w:hint="eastAsia" w:ascii="宋体" w:hAnsi="宋体" w:cs="宋体"/>
        </w:rPr>
        <w:tab/>
      </w:r>
      <w:r>
        <w:rPr>
          <w:rFonts w:hint="eastAsia" w:ascii="宋体" w:hAnsi="宋体" w:cs="宋体"/>
        </w:rPr>
        <w:t xml:space="preserve">址：</w:t>
      </w:r>
      <w:r>
        <w:rPr>
          <w:rFonts w:hint="eastAsia" w:ascii="宋体" w:hAnsi="宋体" w:cs="宋体"/>
          <w:u w:val="single"/>
        </w:rPr>
        <w:t xml:space="preserve">高邮市文游中路168-1号</w:t>
      </w:r>
      <w:r/>
    </w:p>
    <w:p>
      <w:pPr>
        <w:ind w:firstLine="420"/>
        <w:spacing w:line="360" w:lineRule="auto"/>
        <w:rPr>
          <w:rFonts w:ascii="宋体" w:hAnsi="宋体" w:cs="宋体"/>
          <w:u w:val="single"/>
        </w:rPr>
      </w:pPr>
      <w:r>
        <w:rPr>
          <w:rFonts w:hint="eastAsia" w:ascii="宋体" w:hAnsi="宋体" w:cs="宋体"/>
        </w:rPr>
        <w:t xml:space="preserve">联 系 人：</w:t>
      </w:r>
      <w:r>
        <w:rPr>
          <w:rFonts w:hint="eastAsia" w:ascii="宋体" w:hAnsi="宋体" w:cs="宋体"/>
          <w:u w:val="single"/>
        </w:rPr>
        <w:t xml:space="preserve">徐工</w:t>
      </w:r>
      <w:r/>
    </w:p>
    <w:p>
      <w:pPr>
        <w:ind w:firstLine="420"/>
        <w:spacing w:line="360" w:lineRule="auto"/>
        <w:rPr>
          <w:rFonts w:ascii="宋体" w:hAnsi="宋体" w:cs="宋体"/>
          <w:u w:val="single"/>
        </w:rPr>
      </w:pPr>
      <w:r>
        <w:rPr>
          <w:rFonts w:hint="eastAsia" w:ascii="宋体" w:hAnsi="宋体" w:cs="宋体"/>
        </w:rPr>
        <w:t xml:space="preserve">联系电话：</w:t>
      </w:r>
      <w:bookmarkEnd w:id="74"/>
      <w:r>
        <w:rPr>
          <w:rFonts w:hint="eastAsia" w:ascii="宋体" w:hAnsi="宋体" w:cs="宋体"/>
          <w:u w:val="single"/>
        </w:rPr>
        <w:t xml:space="preserve">18115107717</w:t>
      </w:r>
      <w:r/>
    </w:p>
    <w:p>
      <w:pPr>
        <w:spacing w:line="360" w:lineRule="auto"/>
        <w:tabs>
          <w:tab w:val="left" w:pos="266" w:leader="none"/>
        </w:tabs>
        <w:rPr>
          <w:rFonts w:ascii="宋体" w:hAnsi="宋体" w:cs="宋体"/>
          <w:b/>
          <w:bCs/>
        </w:rPr>
        <w:outlineLvl w:val="1"/>
      </w:pPr>
      <w:r/>
      <w:bookmarkStart w:id="79" w:name="_Toc13007"/>
      <w:r>
        <w:rPr>
          <w:rFonts w:hint="eastAsia" w:ascii="宋体" w:hAnsi="宋体" w:cs="宋体"/>
          <w:b/>
          <w:bCs/>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75"/>
      <w:r/>
      <w:bookmarkEnd w:id="76"/>
      <w:r/>
      <w:bookmarkEnd w:id="79"/>
      <w:r/>
      <w:r/>
    </w:p>
    <w:p>
      <w:pPr>
        <w:rPr>
          <w:rFonts w:ascii="宋体" w:hAnsi="宋体" w:cs="宋体"/>
          <w:b/>
          <w:bCs/>
        </w:rPr>
        <w:outlineLvl w:val="1"/>
      </w:pPr>
      <w:r/>
      <w:bookmarkStart w:id="80" w:name="_Toc21065"/>
      <w:r/>
      <w:bookmarkStart w:id="81" w:name="_Toc3447"/>
      <w:r/>
      <w:bookmarkStart w:id="82" w:name="_Toc1256"/>
      <w:r>
        <w:rPr>
          <w:rFonts w:hint="eastAsia" w:ascii="宋体" w:hAnsi="宋体" w:cs="宋体"/>
          <w:b/>
          <w:bCs/>
        </w:rPr>
        <w:t xml:space="preserve">八、其他</w:t>
      </w:r>
      <w:bookmarkEnd w:id="80"/>
      <w:r/>
      <w:bookmarkEnd w:id="81"/>
      <w:r/>
      <w:bookmarkEnd w:id="82"/>
      <w:r/>
      <w:r/>
    </w:p>
    <w:p>
      <w:pPr>
        <w:ind w:firstLine="422"/>
        <w:jc w:val="left"/>
        <w:spacing w:line="360" w:lineRule="auto"/>
        <w:widowControl/>
        <w:rPr>
          <w:rFonts w:ascii="宋体" w:hAnsi="宋体" w:cs="宋体"/>
          <w:bCs/>
        </w:rPr>
      </w:pPr>
      <w:r>
        <w:rPr>
          <w:rFonts w:hint="eastAsia" w:ascii="宋体" w:hAnsi="宋体" w:cs="宋体"/>
          <w:bCs/>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ascii="宋体" w:hAnsi="宋体" w:cs="宋体"/>
          <w:bCs/>
        </w:rPr>
      </w:pPr>
      <w:r>
        <w:rPr>
          <w:rFonts w:hint="eastAsia" w:ascii="宋体" w:hAnsi="宋体" w:cs="宋体"/>
          <w:bCs/>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Cs/>
        </w:rPr>
      </w:pPr>
      <w:r>
        <w:rPr>
          <w:rFonts w:hint="eastAsia" w:ascii="宋体" w:hAnsi="宋体" w:cs="宋体"/>
          <w:bCs/>
        </w:rPr>
        <w:t xml:space="preserve">3.潜在投标人对招标文件项目需求部分的询问、质疑请向采购人提出，由采购人负责答复。</w:t>
      </w:r>
      <w:r/>
    </w:p>
    <w:p>
      <w:pPr>
        <w:ind w:firstLine="420"/>
        <w:spacing w:line="360" w:lineRule="auto"/>
        <w:rPr>
          <w:rFonts w:ascii="宋体" w:hAnsi="宋体" w:cs="宋体"/>
          <w:bCs/>
        </w:rPr>
      </w:pPr>
      <w:r/>
      <w:bookmarkStart w:id="83" w:name="_Toc20470"/>
      <w:r/>
      <w:bookmarkStart w:id="84" w:name="_Toc27330"/>
      <w:r>
        <w:rPr>
          <w:rFonts w:hint="eastAsia" w:ascii="宋体" w:hAnsi="宋体" w:cs="宋体"/>
          <w:bCs/>
        </w:rPr>
        <w:t xml:space="preserve">4.本次招标不收取投标保证金。</w:t>
      </w:r>
      <w:bookmarkEnd w:id="83"/>
      <w:r/>
      <w:bookmarkEnd w:id="84"/>
      <w:r/>
      <w:r/>
    </w:p>
    <w:p>
      <w:pPr>
        <w:ind w:firstLine="420"/>
        <w:spacing w:line="360" w:lineRule="auto"/>
        <w:rPr>
          <w:rFonts w:ascii="宋体" w:hAnsi="宋体" w:cs="宋体"/>
          <w:bCs/>
        </w:rPr>
      </w:pPr>
      <w:r>
        <w:rPr>
          <w:rFonts w:hint="eastAsia" w:ascii="宋体" w:hAnsi="宋体" w:cs="宋体"/>
          <w:bCs/>
        </w:rPr>
        <w:t xml:space="preserve">5.有关本次招标的事项若存在变动或修改，敬请及时关注 “扬州市政府采购网”、“江苏省政府采购网”发布的信息。</w:t>
      </w:r>
      <w:r/>
    </w:p>
    <w:p>
      <w:pPr>
        <w:ind w:firstLine="420"/>
        <w:spacing w:line="360" w:lineRule="auto"/>
        <w:rPr>
          <w:rFonts w:ascii="宋体" w:hAnsi="宋体" w:cs="宋体"/>
          <w:bCs/>
        </w:rPr>
      </w:pPr>
      <w:r>
        <w:rPr>
          <w:rFonts w:hint="eastAsia" w:ascii="宋体" w:hAnsi="宋体" w:cs="宋体"/>
          <w:bCs/>
        </w:rPr>
        <w:t xml:space="preserve">6. 落实好政府采购履约资金扶持政策。中标/成交供应商可凭政府采购合同办理融资贷款，详见江苏政府采购网</w:t>
      </w:r>
      <w:r>
        <w:rPr>
          <w:rFonts w:ascii="宋体" w:hAnsi="宋体" w:cs="宋体"/>
          <w:bCs/>
        </w:rPr>
        <w:t xml:space="preserve">“</w:t>
      </w:r>
      <w:r>
        <w:rPr>
          <w:rFonts w:hint="eastAsia" w:ascii="宋体" w:hAnsi="宋体" w:cs="宋体"/>
          <w:bCs/>
        </w:rPr>
        <w:t xml:space="preserve">政采贷</w:t>
      </w:r>
      <w:r>
        <w:rPr>
          <w:rFonts w:ascii="宋体" w:hAnsi="宋体" w:cs="宋体"/>
          <w:bCs/>
        </w:rPr>
        <w:t xml:space="preserve">”</w:t>
      </w:r>
      <w:r>
        <w:rPr>
          <w:rFonts w:hint="eastAsia" w:ascii="宋体" w:hAnsi="宋体" w:cs="宋体"/>
          <w:bCs/>
        </w:rPr>
        <w:t xml:space="preserve">专栏。”</w:t>
      </w:r>
      <w:r/>
    </w:p>
    <w:p>
      <w:pPr>
        <w:ind w:firstLine="420"/>
        <w:spacing w:line="360" w:lineRule="auto"/>
        <w:rPr>
          <w:rFonts w:ascii="宋体" w:hAnsi="宋体" w:cs="宋体"/>
          <w:bCs/>
        </w:rPr>
      </w:pPr>
      <w:r/>
      <w:bookmarkStart w:id="85" w:name="_Toc3607"/>
      <w:r/>
      <w:bookmarkStart w:id="86" w:name="_Toc383"/>
      <w:r>
        <w:rPr>
          <w:rFonts w:hint="eastAsia" w:ascii="宋体" w:hAnsi="宋体" w:cs="宋体"/>
          <w:bCs/>
        </w:rPr>
        <w:t xml:space="preserve">7. 严格执行政府采购关于支持</w:t>
      </w:r>
      <w:r>
        <w:rPr>
          <w:rFonts w:hint="eastAsia" w:ascii="宋体" w:hAnsi="宋体"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85"/>
      <w:r/>
      <w:bookmarkEnd w:id="86"/>
      <w:r/>
      <w:r/>
    </w:p>
    <w:p>
      <w:pPr>
        <w:ind w:firstLine="422"/>
        <w:spacing w:line="360" w:lineRule="auto"/>
        <w:rPr>
          <w:rFonts w:ascii="宋体" w:hAnsi="宋体" w:cs="宋体"/>
          <w:b/>
          <w:bCs/>
          <w:i/>
          <w:iCs/>
          <w:szCs w:val="21"/>
          <w:u w:val="single"/>
        </w:rPr>
      </w:pPr>
      <w:r>
        <w:rPr>
          <w:rFonts w:hint="eastAsia" w:ascii="宋体" w:hAnsi="宋体" w:cs="宋体"/>
          <w:b/>
          <w:bCs/>
          <w:i/>
          <w:iCs/>
          <w:szCs w:val="21"/>
          <w:u w:val="single"/>
        </w:rPr>
        <w:t xml:space="preserve">8.本项目招标文件中所有斜体下划线部分为实质性条款，如不满足，则为无效投标。</w:t>
      </w:r>
      <w:r/>
    </w:p>
    <w:p>
      <w:r/>
      <w:r/>
    </w:p>
    <w:p>
      <w:r/>
      <w:r/>
    </w:p>
    <w:p>
      <w:pPr>
        <w:jc w:val="right"/>
        <w:rPr>
          <w:rFonts w:ascii="宋体" w:hAnsi="宋体"/>
          <w:b/>
          <w:bCs/>
          <w:color w:val="000000"/>
          <w:sz w:val="34"/>
          <w:szCs w:val="34"/>
        </w:rPr>
      </w:pPr>
      <w:r>
        <w:rPr>
          <w:rFonts w:hint="eastAsia"/>
          <w:sz w:val="24"/>
          <w:szCs w:val="24"/>
        </w:rPr>
        <w:t xml:space="preserve">扬州华泽工程项目管理咨询有限公司</w:t>
      </w:r>
      <w:r>
        <w:rPr>
          <w:rFonts w:hint="eastAsia" w:ascii="宋体" w:hAnsi="宋体" w:cs="宋体"/>
          <w:bCs/>
          <w:sz w:val="24"/>
          <w:szCs w:val="24"/>
        </w:rPr>
        <w:t xml:space="preserve">                                                 </w:t>
      </w:r>
      <w:bookmarkStart w:id="87" w:name="_Toc25974"/>
      <w:r>
        <w:rPr>
          <w:rFonts w:hint="eastAsia" w:ascii="宋体" w:hAnsi="宋体" w:cs="宋体"/>
          <w:bCs/>
          <w:sz w:val="24"/>
          <w:szCs w:val="24"/>
        </w:rPr>
        <w:t xml:space="preserve"> </w:t>
      </w:r>
      <w:r/>
    </w:p>
    <w:p>
      <w:pPr>
        <w:jc w:val="center"/>
        <w:rPr>
          <w:rFonts w:ascii="宋体" w:hAnsi="宋体"/>
          <w:b/>
          <w:sz w:val="32"/>
          <w:szCs w:val="32"/>
        </w:rPr>
        <w:outlineLvl w:val="0"/>
      </w:pPr>
      <w:r/>
      <w:bookmarkStart w:id="88" w:name="_Toc31083"/>
      <w:r/>
      <w:r/>
    </w:p>
    <w:p>
      <w:pPr>
        <w:jc w:val="center"/>
        <w:rPr>
          <w:rFonts w:ascii="宋体" w:hAnsi="宋体"/>
          <w:b/>
          <w:sz w:val="32"/>
          <w:szCs w:val="32"/>
        </w:rPr>
        <w:outlineLvl w:val="0"/>
      </w:pPr>
      <w:r>
        <w:rPr>
          <w:rFonts w:hint="eastAsia" w:ascii="宋体" w:hAnsi="宋体"/>
          <w:b/>
          <w:sz w:val="32"/>
          <w:szCs w:val="32"/>
        </w:rPr>
        <w:t xml:space="preserve">第二章 </w:t>
      </w:r>
      <w:bookmarkStart w:id="89" w:name="_Toc27660"/>
      <w:r>
        <w:rPr>
          <w:rFonts w:hint="eastAsia" w:ascii="宋体" w:hAnsi="宋体"/>
          <w:b/>
          <w:sz w:val="32"/>
          <w:szCs w:val="32"/>
        </w:rPr>
        <w:t xml:space="preserve">投标人须知</w:t>
      </w:r>
      <w:bookmarkEnd w:id="89"/>
      <w:r/>
      <w:r/>
    </w:p>
    <w:p>
      <w:pPr>
        <w:ind w:firstLine="422"/>
        <w:spacing w:line="440" w:lineRule="exact"/>
        <w:rPr>
          <w:rFonts w:ascii="宋体" w:hAnsi="宋体"/>
          <w:b/>
          <w:szCs w:val="21"/>
        </w:rPr>
        <w:outlineLvl w:val="1"/>
      </w:pPr>
      <w:r/>
      <w:bookmarkStart w:id="90" w:name="_Toc4192"/>
      <w:r>
        <w:rPr>
          <w:rFonts w:hint="eastAsia" w:ascii="宋体" w:hAnsi="宋体"/>
          <w:b/>
          <w:szCs w:val="21"/>
        </w:rPr>
        <w:t xml:space="preserve">1、招标方式</w:t>
      </w:r>
      <w:bookmarkEnd w:id="87"/>
      <w:r/>
      <w:bookmarkEnd w:id="88"/>
      <w:r/>
      <w:bookmarkEnd w:id="90"/>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本次招标采取公开招标方式，本招标文件仅适用于JSZC-321084-YZHZ-G2025-00</w:t>
      </w:r>
      <w:r>
        <w:rPr>
          <w:rFonts w:hint="eastAsia" w:ascii="宋体" w:hAnsi="宋体"/>
          <w:bCs/>
          <w:szCs w:val="21"/>
          <w:lang w:val="en-US" w:eastAsia="zh-CN"/>
        </w:rPr>
        <w:t xml:space="preserve">24</w:t>
      </w:r>
      <w:r>
        <w:rPr>
          <w:rFonts w:hint="eastAsia" w:ascii="宋体" w:hAnsi="宋体"/>
          <w:bCs/>
          <w:szCs w:val="21"/>
        </w:rPr>
        <w:t xml:space="preserve">项目。</w:t>
      </w:r>
      <w:r/>
    </w:p>
    <w:p>
      <w:pPr>
        <w:ind w:firstLine="422"/>
        <w:spacing w:line="440" w:lineRule="exact"/>
        <w:rPr>
          <w:rFonts w:ascii="宋体" w:hAnsi="宋体"/>
          <w:b/>
          <w:szCs w:val="21"/>
        </w:rPr>
        <w:outlineLvl w:val="1"/>
      </w:pPr>
      <w:r/>
      <w:bookmarkStart w:id="91" w:name="_Toc25258"/>
      <w:r/>
      <w:bookmarkStart w:id="92" w:name="_Toc32763"/>
      <w:r/>
      <w:bookmarkStart w:id="93" w:name="_Toc32201"/>
      <w:r>
        <w:rPr>
          <w:rFonts w:hint="eastAsia" w:ascii="宋体" w:hAnsi="宋体"/>
          <w:b/>
          <w:szCs w:val="21"/>
        </w:rPr>
        <w:t xml:space="preserve">2、投标人</w:t>
      </w:r>
      <w:bookmarkEnd w:id="91"/>
      <w:r/>
      <w:bookmarkEnd w:id="92"/>
      <w:r/>
      <w:bookmarkEnd w:id="93"/>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pPr>
      <w:r>
        <w:rPr>
          <w:rFonts w:hint="eastAsia" w:ascii="宋体" w:hAnsi="宋体"/>
          <w:bCs/>
          <w:szCs w:val="21"/>
        </w:rPr>
        <w:t xml:space="preserve">2.2.2 满足本文件实质性条款的规定。</w:t>
      </w:r>
      <w:r/>
    </w:p>
    <w:p>
      <w:pPr>
        <w:ind w:firstLine="422"/>
        <w:spacing w:line="360" w:lineRule="auto"/>
        <w:rPr>
          <w:rFonts w:ascii="宋体" w:hAnsi="宋体"/>
          <w:b/>
          <w:szCs w:val="21"/>
        </w:rPr>
        <w:outlineLvl w:val="1"/>
      </w:pPr>
      <w:r/>
      <w:bookmarkStart w:id="94" w:name="_Toc7771"/>
      <w:r/>
      <w:bookmarkStart w:id="95" w:name="_Toc25510"/>
      <w:r/>
      <w:bookmarkStart w:id="96" w:name="_Toc18196"/>
      <w:r>
        <w:rPr>
          <w:rFonts w:hint="eastAsia" w:ascii="宋体" w:hAnsi="宋体"/>
          <w:b/>
          <w:szCs w:val="21"/>
        </w:rPr>
        <w:t xml:space="preserve">3、适用法律</w:t>
      </w:r>
      <w:bookmarkEnd w:id="94"/>
      <w:r/>
      <w:bookmarkEnd w:id="95"/>
      <w:r/>
      <w:bookmarkEnd w:id="96"/>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outlineLvl w:val="1"/>
      </w:pPr>
      <w:r/>
      <w:bookmarkStart w:id="97" w:name="_Toc7547"/>
      <w:r/>
      <w:bookmarkStart w:id="98" w:name="_Toc27897"/>
      <w:r/>
      <w:bookmarkStart w:id="99" w:name="_Toc12086"/>
      <w:r>
        <w:rPr>
          <w:rFonts w:hint="eastAsia" w:ascii="宋体" w:hAnsi="宋体"/>
          <w:b/>
          <w:szCs w:val="21"/>
        </w:rPr>
        <w:t xml:space="preserve">4、投标费用</w:t>
      </w:r>
      <w:bookmarkEnd w:id="97"/>
      <w:r/>
      <w:bookmarkEnd w:id="98"/>
      <w:r/>
      <w:bookmarkEnd w:id="99"/>
      <w:r/>
      <w:r/>
    </w:p>
    <w:p>
      <w:pPr>
        <w:ind w:firstLine="420"/>
        <w:spacing w:line="360" w:lineRule="auto"/>
      </w:pPr>
      <w:r>
        <w:rPr>
          <w:rFonts w:hint="eastAsia" w:ascii="宋体" w:hAnsi="宋体"/>
          <w:bCs/>
          <w:szCs w:val="21"/>
        </w:rPr>
        <w:t xml:space="preserve">4.1</w:t>
      </w:r>
      <w:r>
        <w:t xml:space="preserve"> 投标人应自行承担所有与参加投标有关的费用，无论投标过程中的做法和结果如何，代理机构在任何情况下均无义务和责任承担这些费用。 </w:t>
      </w:r>
      <w:r/>
    </w:p>
    <w:p>
      <w:pPr>
        <w:ind w:firstLine="420"/>
        <w:spacing w:line="360" w:lineRule="auto"/>
      </w:pPr>
      <w:r>
        <w:rPr>
          <w:rFonts w:hint="eastAsia" w:ascii="宋体" w:hAnsi="宋体"/>
          <w:bCs/>
          <w:szCs w:val="21"/>
        </w:rPr>
        <w:t xml:space="preserve">4.2</w:t>
      </w:r>
      <w:r>
        <w:rPr>
          <w:rFonts w:hint="eastAsia"/>
        </w:rPr>
        <w:t xml:space="preserve">本次采购招标代理费由中标人支付；招标代理费按照国家计委印发的《招标代理服务收费管理暂行办法》(计价格【2002】1980 号文)（服务类）的标准计取。</w:t>
      </w:r>
      <w:r/>
    </w:p>
    <w:p>
      <w:pPr>
        <w:ind w:firstLine="420"/>
        <w:spacing w:line="360" w:lineRule="auto"/>
      </w:pPr>
      <w:r>
        <w:t xml:space="preserve">（1）代理服务费以人民币支付； </w:t>
      </w:r>
      <w:r/>
    </w:p>
    <w:p>
      <w:pPr>
        <w:ind w:firstLine="420"/>
        <w:spacing w:line="360" w:lineRule="auto"/>
      </w:pPr>
      <w:r>
        <w:t xml:space="preserve">（2）代理服务费一次性以电汇、转账等非现金形式支付； </w:t>
      </w:r>
      <w:r/>
    </w:p>
    <w:p>
      <w:pPr>
        <w:ind w:firstLine="420"/>
        <w:spacing w:line="360" w:lineRule="auto"/>
      </w:pPr>
      <w:r>
        <w:t xml:space="preserve">（3）招标代理服务费不在投标报价中单列，包含在投标总价中，由中标单位支付给代理机构。 </w:t>
      </w:r>
      <w:r/>
    </w:p>
    <w:p>
      <w:pPr>
        <w:ind w:left="13" w:right="2" w:firstLine="475"/>
        <w:spacing w:line="360" w:lineRule="auto"/>
        <w:rPr>
          <w:rFonts w:ascii="宋体" w:hAnsi="宋体" w:cs="宋体"/>
          <w:sz w:val="23"/>
          <w:szCs w:val="23"/>
        </w:rPr>
      </w:pPr>
      <w:r>
        <w:rPr>
          <w:rFonts w:hint="eastAsia" w:ascii="宋体" w:hAnsi="宋体"/>
          <w:bCs/>
          <w:szCs w:val="21"/>
        </w:rPr>
        <w:t xml:space="preserve">4.3</w:t>
      </w:r>
      <w:r>
        <w:t xml:space="preserve">本次招标专家评审费由</w:t>
      </w:r>
      <w:r>
        <w:rPr>
          <w:rFonts w:hint="eastAsia"/>
        </w:rPr>
        <w:t xml:space="preserve">中标</w:t>
      </w:r>
      <w:r>
        <w:t xml:space="preserve">人支付。按邮财购【2020】287 号文《关于进一步规范高邮市政府采购专家评审费标准的通知》执行。</w:t>
      </w:r>
      <w:r/>
    </w:p>
    <w:p>
      <w:pPr>
        <w:ind w:firstLine="422"/>
        <w:spacing w:line="360" w:lineRule="auto"/>
        <w:rPr>
          <w:rFonts w:ascii="宋体" w:hAnsi="宋体"/>
          <w:b/>
          <w:szCs w:val="21"/>
        </w:rPr>
        <w:outlineLvl w:val="1"/>
      </w:pPr>
      <w:r/>
      <w:bookmarkStart w:id="100" w:name="_Toc4840"/>
      <w:r/>
      <w:bookmarkStart w:id="101" w:name="_Toc25928"/>
      <w:r/>
      <w:bookmarkStart w:id="102" w:name="_Toc4843"/>
      <w:r>
        <w:rPr>
          <w:rFonts w:hint="eastAsia" w:ascii="宋体" w:hAnsi="宋体"/>
          <w:b/>
          <w:szCs w:val="21"/>
        </w:rPr>
        <w:t xml:space="preserve">5、招标文件的约束力</w:t>
      </w:r>
      <w:bookmarkEnd w:id="100"/>
      <w:r/>
      <w:bookmarkEnd w:id="101"/>
      <w:r/>
      <w:bookmarkEnd w:id="102"/>
      <w:r/>
      <w:r/>
    </w:p>
    <w:p>
      <w:pPr>
        <w:ind w:firstLine="422"/>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outlineLvl w:val="1"/>
      </w:pPr>
      <w:r/>
      <w:bookmarkStart w:id="103" w:name="_Toc16077"/>
      <w:r/>
      <w:bookmarkStart w:id="104" w:name="_Toc18248"/>
      <w:r/>
      <w:bookmarkStart w:id="105" w:name="_Toc32433"/>
      <w:r>
        <w:rPr>
          <w:rFonts w:hint="eastAsia" w:ascii="宋体" w:hAnsi="宋体"/>
          <w:b/>
          <w:szCs w:val="21"/>
        </w:rPr>
        <w:t xml:space="preserve">6、招标文件构成</w:t>
      </w:r>
      <w:bookmarkEnd w:id="103"/>
      <w:r/>
      <w:bookmarkEnd w:id="104"/>
      <w:r/>
      <w:bookmarkEnd w:id="105"/>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outlineLvl w:val="1"/>
      </w:pPr>
      <w:r/>
      <w:bookmarkStart w:id="106" w:name="_Toc6722"/>
      <w:r/>
      <w:bookmarkStart w:id="107" w:name="_Toc30023"/>
      <w:r/>
      <w:bookmarkStart w:id="108" w:name="_Toc30611"/>
      <w:r>
        <w:rPr>
          <w:rFonts w:hint="eastAsia" w:ascii="宋体" w:hAnsi="宋体"/>
          <w:b/>
          <w:szCs w:val="21"/>
        </w:rPr>
        <w:t xml:space="preserve">7、招标文件的澄清</w:t>
      </w:r>
      <w:bookmarkEnd w:id="106"/>
      <w:r/>
      <w:bookmarkEnd w:id="107"/>
      <w:r/>
      <w:bookmarkEnd w:id="108"/>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w:t>
      </w:r>
      <w:r>
        <w:rPr>
          <w:rFonts w:hint="eastAsia" w:ascii="宋体" w:hAnsi="宋体"/>
          <w:b/>
          <w:bCs/>
          <w:i/>
          <w:szCs w:val="21"/>
        </w:rPr>
        <w:t xml:space="preserve">十日前</w:t>
      </w:r>
      <w:r>
        <w:rPr>
          <w:rFonts w:hint="eastAsia" w:ascii="宋体" w:hAnsi="宋体"/>
          <w:bCs/>
          <w:szCs w:val="21"/>
        </w:rPr>
        <w:t xml:space="preserve">按招标公告中的通讯地址，以书面形式通知代理机构。</w:t>
      </w:r>
      <w:r/>
    </w:p>
    <w:p>
      <w:pPr>
        <w:ind w:firstLine="422"/>
        <w:spacing w:line="360" w:lineRule="auto"/>
        <w:rPr>
          <w:rFonts w:ascii="宋体" w:hAnsi="宋体"/>
          <w:b/>
          <w:szCs w:val="21"/>
        </w:rPr>
        <w:outlineLvl w:val="1"/>
      </w:pPr>
      <w:r/>
      <w:bookmarkStart w:id="109" w:name="_Toc1752"/>
      <w:r/>
      <w:bookmarkStart w:id="110" w:name="_Toc5041"/>
      <w:r/>
      <w:bookmarkStart w:id="111" w:name="_Toc11169"/>
      <w:r>
        <w:rPr>
          <w:rFonts w:hint="eastAsia" w:ascii="宋体" w:hAnsi="宋体"/>
          <w:b/>
          <w:szCs w:val="21"/>
        </w:rPr>
        <w:t xml:space="preserve">8、招标文件的修改</w:t>
      </w:r>
      <w:bookmarkEnd w:id="109"/>
      <w:r/>
      <w:bookmarkEnd w:id="110"/>
      <w:r/>
      <w:bookmarkEnd w:id="111"/>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szCs w:val="21"/>
        </w:rPr>
        <w:outlineLvl w:val="1"/>
      </w:pPr>
      <w:r/>
      <w:bookmarkStart w:id="112" w:name="_Toc8816"/>
      <w:r/>
      <w:bookmarkStart w:id="113" w:name="_Toc14587"/>
      <w:r/>
      <w:bookmarkStart w:id="114" w:name="_Toc24377"/>
      <w:r>
        <w:rPr>
          <w:rFonts w:hint="eastAsia" w:ascii="宋体" w:hAnsi="宋体"/>
          <w:b/>
          <w:szCs w:val="21"/>
        </w:rPr>
        <w:t xml:space="preserve">9、投标文件的语言、度量衡单位、货币</w:t>
      </w:r>
      <w:bookmarkEnd w:id="112"/>
      <w:r/>
      <w:bookmarkEnd w:id="113"/>
      <w:r/>
      <w:bookmarkEnd w:id="114"/>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rPr>
          <w:rFonts w:hint="eastAsia" w:ascii="宋体" w:hAnsi="宋体"/>
        </w:rPr>
        <w:t xml:space="preserve">招标文件中另有规定的按规定执行。</w:t>
      </w:r>
      <w:r/>
    </w:p>
    <w:p>
      <w:pPr>
        <w:ind w:firstLine="422"/>
        <w:spacing w:line="360" w:lineRule="auto"/>
        <w:rPr>
          <w:rFonts w:ascii="宋体" w:hAnsi="宋体"/>
          <w:b/>
          <w:szCs w:val="21"/>
        </w:rPr>
        <w:outlineLvl w:val="1"/>
      </w:pPr>
      <w:r/>
      <w:bookmarkStart w:id="115" w:name="_Toc13663"/>
      <w:r/>
      <w:bookmarkStart w:id="116" w:name="_Toc20377"/>
      <w:r/>
      <w:bookmarkStart w:id="117" w:name="_Toc30688"/>
      <w:r>
        <w:rPr>
          <w:rFonts w:hint="eastAsia" w:ascii="宋体" w:hAnsi="宋体"/>
          <w:b/>
          <w:szCs w:val="21"/>
        </w:rPr>
        <w:t xml:space="preserve">10、投标文件构成</w:t>
      </w:r>
      <w:bookmarkEnd w:id="115"/>
      <w:r/>
      <w:bookmarkEnd w:id="116"/>
      <w:r/>
      <w:bookmarkEnd w:id="117"/>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outlineLvl w:val="1"/>
      </w:pPr>
      <w:r/>
      <w:bookmarkStart w:id="118" w:name="_Toc22047"/>
      <w:r/>
      <w:bookmarkStart w:id="119" w:name="_Toc12252"/>
      <w:r/>
      <w:bookmarkStart w:id="120" w:name="_Toc29605"/>
      <w:r>
        <w:rPr>
          <w:rFonts w:hint="eastAsia" w:ascii="宋体" w:hAnsi="宋体"/>
          <w:b/>
          <w:szCs w:val="21"/>
        </w:rPr>
        <w:t xml:space="preserve">11、证明投标人资格及符合招标文件规定的文件</w:t>
      </w:r>
      <w:bookmarkEnd w:id="118"/>
      <w:r/>
      <w:bookmarkEnd w:id="119"/>
      <w:r/>
      <w:bookmarkEnd w:id="120"/>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outlineLvl w:val="1"/>
      </w:pPr>
      <w:r/>
      <w:bookmarkStart w:id="121" w:name="_Toc20234"/>
      <w:r/>
      <w:bookmarkStart w:id="122" w:name="_Toc5147"/>
      <w:r/>
      <w:bookmarkStart w:id="123" w:name="_Toc12043"/>
      <w:r>
        <w:rPr>
          <w:rFonts w:hint="eastAsia" w:ascii="宋体" w:hAnsi="宋体"/>
          <w:b/>
          <w:szCs w:val="21"/>
        </w:rPr>
        <w:t xml:space="preserve">12、</w:t>
      </w:r>
      <w:r>
        <w:rPr>
          <w:rFonts w:hint="eastAsia"/>
          <w:b/>
          <w:bCs/>
        </w:rPr>
        <w:t xml:space="preserve">分项报价表</w:t>
      </w:r>
      <w:bookmarkEnd w:id="121"/>
      <w:r/>
      <w:bookmarkEnd w:id="122"/>
      <w:r/>
      <w:bookmarkEnd w:id="123"/>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outlineLvl w:val="1"/>
      </w:pPr>
      <w:r/>
      <w:bookmarkStart w:id="124" w:name="_Toc18416"/>
      <w:r/>
      <w:bookmarkStart w:id="125" w:name="_Toc17453"/>
      <w:r/>
      <w:bookmarkStart w:id="126" w:name="_Toc17533"/>
      <w:r>
        <w:rPr>
          <w:rFonts w:hint="eastAsia" w:ascii="宋体" w:hAnsi="宋体"/>
          <w:b/>
          <w:szCs w:val="21"/>
        </w:rPr>
        <w:t xml:space="preserve">13、技术参数响应及偏离表、商务条款响应及偏离表及投标货物说明</w:t>
      </w:r>
      <w:bookmarkEnd w:id="124"/>
      <w:r/>
      <w:bookmarkEnd w:id="125"/>
      <w:r/>
      <w:bookmarkEnd w:id="126"/>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outlineLvl w:val="1"/>
      </w:pPr>
      <w:r/>
      <w:bookmarkStart w:id="127" w:name="_Toc21943"/>
      <w:r/>
      <w:bookmarkStart w:id="128" w:name="_Toc12914"/>
      <w:r/>
      <w:bookmarkStart w:id="129" w:name="_Toc5746"/>
      <w:r>
        <w:rPr>
          <w:rFonts w:hint="eastAsia" w:ascii="宋体" w:hAnsi="宋体"/>
          <w:b/>
          <w:szCs w:val="21"/>
        </w:rPr>
        <w:t xml:space="preserve">14、服务承诺及售后服务机构、人员的情况介绍</w:t>
      </w:r>
      <w:bookmarkEnd w:id="127"/>
      <w:r/>
      <w:bookmarkEnd w:id="128"/>
      <w:r/>
      <w:bookmarkEnd w:id="129"/>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outlineLvl w:val="1"/>
      </w:pPr>
      <w:r/>
      <w:bookmarkStart w:id="130" w:name="_Toc28899"/>
      <w:r/>
      <w:bookmarkStart w:id="131" w:name="_Toc21324"/>
      <w:r/>
      <w:bookmarkStart w:id="132" w:name="_Toc12286"/>
      <w:r>
        <w:rPr>
          <w:rFonts w:hint="eastAsia" w:ascii="宋体" w:hAnsi="宋体"/>
          <w:b/>
          <w:szCs w:val="21"/>
        </w:rPr>
        <w:t xml:space="preserve">15、投标函和开标一览表</w:t>
      </w:r>
      <w:bookmarkEnd w:id="130"/>
      <w:r/>
      <w:bookmarkEnd w:id="131"/>
      <w:r/>
      <w:bookmarkEnd w:id="132"/>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outlineLvl w:val="1"/>
      </w:pPr>
      <w:r/>
      <w:bookmarkStart w:id="133" w:name="_Toc8980"/>
      <w:r/>
      <w:bookmarkStart w:id="134" w:name="_Toc530"/>
      <w:r/>
      <w:bookmarkStart w:id="135" w:name="_Toc15779"/>
      <w:r>
        <w:rPr>
          <w:rFonts w:hint="eastAsia" w:ascii="宋体" w:hAnsi="宋体"/>
          <w:b/>
          <w:szCs w:val="21"/>
        </w:rPr>
        <w:t xml:space="preserve">16、投标有效期</w:t>
      </w:r>
      <w:bookmarkEnd w:id="133"/>
      <w:r/>
      <w:bookmarkEnd w:id="134"/>
      <w:r/>
      <w:bookmarkEnd w:id="135"/>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outlineLvl w:val="1"/>
      </w:pPr>
      <w:r/>
      <w:bookmarkStart w:id="136" w:name="_Toc462564084"/>
      <w:r/>
      <w:bookmarkStart w:id="137" w:name="_Toc513029225"/>
      <w:r/>
      <w:bookmarkStart w:id="138" w:name="_Toc20823297"/>
      <w:r/>
      <w:bookmarkStart w:id="139" w:name="_Toc16938541"/>
      <w:r/>
      <w:bookmarkStart w:id="140" w:name="_Toc26078"/>
      <w:r/>
      <w:bookmarkStart w:id="141" w:name="_Toc28839"/>
      <w:r/>
      <w:bookmarkStart w:id="142" w:name="_Toc10310"/>
      <w:r>
        <w:rPr>
          <w:rFonts w:hint="eastAsia" w:ascii="宋体" w:hAnsi="宋体"/>
          <w:b/>
          <w:szCs w:val="21"/>
        </w:rPr>
        <w:t xml:space="preserve">17、投标文件</w:t>
      </w:r>
      <w:bookmarkEnd w:id="136"/>
      <w:r/>
      <w:bookmarkEnd w:id="137"/>
      <w:r/>
      <w:bookmarkEnd w:id="138"/>
      <w:r/>
      <w:bookmarkEnd w:id="139"/>
      <w:r>
        <w:rPr>
          <w:rFonts w:hint="eastAsia" w:ascii="宋体" w:hAnsi="宋体"/>
          <w:b/>
          <w:szCs w:val="21"/>
        </w:rPr>
        <w:t xml:space="preserve">的递交</w:t>
      </w:r>
      <w:bookmarkEnd w:id="140"/>
      <w:r/>
      <w:bookmarkEnd w:id="141"/>
      <w:r/>
      <w:bookmarkEnd w:id="142"/>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43" w:name="_Toc513029226"/>
      <w:r/>
      <w:bookmarkStart w:id="144" w:name="_Toc20823298"/>
      <w:r/>
      <w:bookmarkStart w:id="145" w:name="_Toc16938542"/>
      <w:r/>
      <w:r/>
    </w:p>
    <w:p>
      <w:pPr>
        <w:ind w:firstLine="422"/>
        <w:spacing w:line="360" w:lineRule="auto"/>
        <w:rPr>
          <w:rFonts w:ascii="宋体" w:hAnsi="宋体"/>
          <w:bCs/>
          <w:szCs w:val="21"/>
        </w:rPr>
      </w:pPr>
      <w:r>
        <w:rPr>
          <w:rFonts w:hint="eastAsia" w:ascii="宋体" w:hAnsi="宋体"/>
          <w:bCs/>
          <w:szCs w:val="21"/>
        </w:rPr>
        <w:t xml:space="preserve">17.2政府采购管理交易系统（苏采云）相关要求是本招标文件的组成部分。</w:t>
      </w:r>
      <w:r/>
    </w:p>
    <w:p>
      <w:pPr>
        <w:ind w:firstLine="422"/>
        <w:spacing w:line="360" w:lineRule="auto"/>
        <w:rPr>
          <w:rFonts w:ascii="宋体" w:hAnsi="宋体"/>
          <w:bCs/>
          <w:szCs w:val="21"/>
        </w:rPr>
      </w:pPr>
      <w:r>
        <w:rPr>
          <w:rFonts w:hint="eastAsia" w:ascii="宋体" w:hAnsi="宋体"/>
          <w:bCs/>
          <w:szCs w:val="21"/>
        </w:rPr>
        <w:t xml:space="preserve">17.3投标人应对 CA 证书妥善保管，如被他人盗用投标，因此带来的结果均由投标人自行承担。</w:t>
      </w:r>
      <w:r/>
    </w:p>
    <w:p>
      <w:pPr>
        <w:ind w:firstLine="422"/>
        <w:spacing w:line="360" w:lineRule="auto"/>
        <w:rPr>
          <w:rFonts w:ascii="宋体" w:hAnsi="宋体"/>
          <w:bCs/>
          <w:szCs w:val="21"/>
        </w:rPr>
      </w:pPr>
      <w:r>
        <w:rPr>
          <w:rFonts w:hint="eastAsia" w:ascii="宋体" w:hAnsi="宋体"/>
          <w:bCs/>
          <w:szCs w:val="21"/>
        </w:rPr>
        <w:t xml:space="preserve">17.4投标人应当对招标文件提出的要求和条件作出实质性响应，并在电子投标系统逐条应答。</w:t>
      </w:r>
      <w:r/>
    </w:p>
    <w:p>
      <w:pPr>
        <w:ind w:firstLine="422"/>
        <w:spacing w:line="360" w:lineRule="auto"/>
        <w:rPr>
          <w:rFonts w:ascii="宋体" w:hAnsi="宋体"/>
          <w:bCs/>
          <w:szCs w:val="21"/>
        </w:rPr>
      </w:pPr>
      <w:r>
        <w:rPr>
          <w:rFonts w:hint="eastAsia" w:ascii="宋体" w:hAnsi="宋体"/>
          <w:bCs/>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Cs/>
          <w:szCs w:val="21"/>
        </w:rPr>
      </w:pPr>
      <w:r>
        <w:rPr>
          <w:rFonts w:hint="eastAsia" w:ascii="宋体" w:hAnsi="宋体"/>
          <w:bCs/>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Cs/>
          <w:szCs w:val="21"/>
        </w:rPr>
      </w:pPr>
      <w:r>
        <w:rPr>
          <w:rFonts w:hint="eastAsia" w:ascii="宋体" w:hAnsi="宋体"/>
          <w:bCs/>
          <w:szCs w:val="21"/>
        </w:rPr>
        <w:t xml:space="preserve">17.7各投标人应在规定时间内凭CA证书进行网上解密。</w:t>
      </w:r>
      <w:r/>
    </w:p>
    <w:p>
      <w:pPr>
        <w:ind w:firstLine="422"/>
        <w:spacing w:line="360" w:lineRule="auto"/>
        <w:rPr>
          <w:rFonts w:ascii="宋体" w:hAnsi="宋体"/>
          <w:b/>
          <w:szCs w:val="21"/>
        </w:rPr>
        <w:outlineLvl w:val="1"/>
      </w:pPr>
      <w:r/>
      <w:bookmarkStart w:id="146" w:name="_Toc18897"/>
      <w:r/>
      <w:bookmarkStart w:id="147" w:name="_Toc12951"/>
      <w:r/>
      <w:bookmarkStart w:id="148" w:name="_Toc5485"/>
      <w:r>
        <w:rPr>
          <w:rFonts w:hint="eastAsia" w:ascii="宋体" w:hAnsi="宋体"/>
          <w:b/>
          <w:szCs w:val="21"/>
        </w:rPr>
        <w:t xml:space="preserve">18、投标截止日期</w:t>
      </w:r>
      <w:bookmarkEnd w:id="143"/>
      <w:r/>
      <w:bookmarkEnd w:id="144"/>
      <w:r/>
      <w:bookmarkEnd w:id="145"/>
      <w:r/>
      <w:bookmarkEnd w:id="146"/>
      <w:r/>
      <w:bookmarkEnd w:id="147"/>
      <w:r/>
      <w:bookmarkEnd w:id="1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outlineLvl w:val="1"/>
      </w:pPr>
      <w:r/>
      <w:bookmarkStart w:id="149" w:name="_Toc16938543"/>
      <w:r/>
      <w:bookmarkStart w:id="150" w:name="_Toc513029227"/>
      <w:r/>
      <w:bookmarkStart w:id="151" w:name="_Toc20823299"/>
      <w:r/>
      <w:bookmarkStart w:id="152" w:name="_Toc4302"/>
      <w:r/>
      <w:bookmarkStart w:id="153" w:name="_Toc8043"/>
      <w:r/>
      <w:bookmarkStart w:id="154" w:name="_Toc22437"/>
      <w:r>
        <w:rPr>
          <w:rFonts w:hint="eastAsia" w:ascii="宋体" w:hAnsi="宋体"/>
          <w:b/>
          <w:szCs w:val="21"/>
        </w:rPr>
        <w:t xml:space="preserve">19、投标文件</w:t>
      </w:r>
      <w:bookmarkEnd w:id="149"/>
      <w:r/>
      <w:bookmarkEnd w:id="150"/>
      <w:r/>
      <w:bookmarkEnd w:id="151"/>
      <w:r>
        <w:rPr>
          <w:rFonts w:hint="eastAsia" w:ascii="宋体" w:hAnsi="宋体"/>
          <w:b/>
          <w:szCs w:val="21"/>
        </w:rPr>
        <w:t xml:space="preserve">的拒收</w:t>
      </w:r>
      <w:bookmarkEnd w:id="152"/>
      <w:r/>
      <w:bookmarkEnd w:id="153"/>
      <w:r/>
      <w:bookmarkEnd w:id="154"/>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outlineLvl w:val="1"/>
      </w:pPr>
      <w:r/>
      <w:bookmarkStart w:id="155" w:name="_Toc20823300"/>
      <w:r/>
      <w:bookmarkStart w:id="156" w:name="_Toc16938544"/>
      <w:r/>
      <w:bookmarkStart w:id="157" w:name="_Toc27392"/>
      <w:r/>
      <w:bookmarkStart w:id="158" w:name="_Toc513029228"/>
      <w:r/>
      <w:bookmarkStart w:id="159" w:name="_Toc2577"/>
      <w:r/>
      <w:bookmarkStart w:id="160" w:name="_Toc13895"/>
      <w:r>
        <w:rPr>
          <w:rFonts w:hint="eastAsia" w:ascii="宋体" w:hAnsi="宋体"/>
          <w:b/>
          <w:szCs w:val="21"/>
        </w:rPr>
        <w:t xml:space="preserve">20、投标文件的撤回和修改</w:t>
      </w:r>
      <w:bookmarkEnd w:id="155"/>
      <w:r/>
      <w:bookmarkEnd w:id="156"/>
      <w:r/>
      <w:bookmarkEnd w:id="157"/>
      <w:r/>
      <w:bookmarkEnd w:id="158"/>
      <w:r/>
      <w:bookmarkEnd w:id="159"/>
      <w:r/>
      <w:bookmarkEnd w:id="160"/>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outlineLvl w:val="1"/>
      </w:pPr>
      <w:r/>
      <w:bookmarkStart w:id="161" w:name="_Toc6046"/>
      <w:r/>
      <w:bookmarkStart w:id="162" w:name="_Toc1094"/>
      <w:r/>
      <w:bookmarkStart w:id="163" w:name="_Toc6937"/>
      <w:r>
        <w:rPr>
          <w:rFonts w:hint="eastAsia" w:ascii="宋体" w:hAnsi="宋体"/>
          <w:b/>
          <w:szCs w:val="21"/>
        </w:rPr>
        <w:t xml:space="preserve">21、开标</w:t>
      </w:r>
      <w:bookmarkEnd w:id="161"/>
      <w:r/>
      <w:bookmarkEnd w:id="162"/>
      <w:r/>
      <w:bookmarkEnd w:id="163"/>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Cs/>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outlineLvl w:val="1"/>
      </w:pPr>
      <w:r/>
      <w:bookmarkStart w:id="164" w:name="_Toc9134"/>
      <w:r/>
      <w:bookmarkStart w:id="165" w:name="_Toc12714"/>
      <w:r/>
      <w:bookmarkStart w:id="166" w:name="_Toc2052"/>
      <w:r>
        <w:rPr>
          <w:rFonts w:hint="eastAsia" w:ascii="宋体" w:hAnsi="宋体"/>
          <w:b/>
          <w:szCs w:val="21"/>
        </w:rPr>
        <w:t xml:space="preserve">22、评标委员会</w:t>
      </w:r>
      <w:bookmarkEnd w:id="164"/>
      <w:r/>
      <w:bookmarkEnd w:id="165"/>
      <w:r/>
      <w:bookmarkEnd w:id="166"/>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outlineLvl w:val="1"/>
      </w:pPr>
      <w:r/>
      <w:bookmarkStart w:id="167" w:name="_Toc132"/>
      <w:r/>
      <w:bookmarkStart w:id="168" w:name="_Toc9981"/>
      <w:r/>
      <w:bookmarkStart w:id="169" w:name="_Toc9252"/>
      <w:r>
        <w:rPr>
          <w:rFonts w:hint="eastAsia" w:ascii="宋体" w:hAnsi="宋体"/>
          <w:b/>
          <w:szCs w:val="21"/>
        </w:rPr>
        <w:t xml:space="preserve">23、评标过程的保密与公正</w:t>
      </w:r>
      <w:bookmarkEnd w:id="167"/>
      <w:r/>
      <w:bookmarkEnd w:id="168"/>
      <w:r/>
      <w:bookmarkEnd w:id="169"/>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outlineLvl w:val="1"/>
      </w:pPr>
      <w:r/>
      <w:bookmarkStart w:id="170" w:name="_Toc12612"/>
      <w:r/>
      <w:bookmarkStart w:id="171" w:name="_Toc691"/>
      <w:r/>
      <w:bookmarkStart w:id="172" w:name="_Toc12474"/>
      <w:r>
        <w:rPr>
          <w:rFonts w:hint="eastAsia" w:ascii="宋体" w:hAnsi="宋体"/>
          <w:b/>
          <w:szCs w:val="21"/>
        </w:rPr>
        <w:t xml:space="preserve">24、投标的澄清</w:t>
      </w:r>
      <w:bookmarkEnd w:id="170"/>
      <w:r/>
      <w:bookmarkEnd w:id="171"/>
      <w:r/>
      <w:bookmarkEnd w:id="172"/>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outlineLvl w:val="1"/>
      </w:pPr>
      <w:r/>
      <w:bookmarkStart w:id="173" w:name="_Toc31935"/>
      <w:r/>
      <w:bookmarkStart w:id="174" w:name="_Toc30154"/>
      <w:r/>
      <w:bookmarkStart w:id="175" w:name="_Toc8989"/>
      <w:r>
        <w:rPr>
          <w:rFonts w:hint="eastAsia" w:ascii="宋体" w:hAnsi="宋体"/>
          <w:b/>
          <w:szCs w:val="21"/>
        </w:rPr>
        <w:t xml:space="preserve">25、对投标文件的初审</w:t>
      </w:r>
      <w:bookmarkEnd w:id="173"/>
      <w:r/>
      <w:bookmarkEnd w:id="174"/>
      <w:r/>
      <w:bookmarkEnd w:id="175"/>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outlineLvl w:val="1"/>
      </w:pPr>
      <w:r/>
      <w:bookmarkStart w:id="176" w:name="_Toc30449"/>
      <w:r/>
      <w:bookmarkStart w:id="177" w:name="_Toc29525"/>
      <w:r/>
      <w:bookmarkStart w:id="178" w:name="_Toc27845"/>
      <w:r>
        <w:rPr>
          <w:rFonts w:hint="eastAsia" w:ascii="宋体" w:hAnsi="宋体"/>
          <w:b/>
          <w:szCs w:val="21"/>
        </w:rPr>
        <w:t xml:space="preserve">26、无效投标、废标及投标人不足三家的处理</w:t>
      </w:r>
      <w:bookmarkEnd w:id="176"/>
      <w:r/>
      <w:bookmarkEnd w:id="177"/>
      <w:r/>
      <w:bookmarkEnd w:id="178"/>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outlineLvl w:val="1"/>
      </w:pPr>
      <w:r/>
      <w:bookmarkStart w:id="179" w:name="_Toc8804"/>
      <w:r/>
      <w:bookmarkStart w:id="180" w:name="_Toc24621"/>
      <w:r/>
      <w:bookmarkStart w:id="181" w:name="_Toc31180"/>
      <w:r>
        <w:rPr>
          <w:rFonts w:hint="eastAsia" w:ascii="宋体" w:hAnsi="宋体"/>
          <w:b/>
          <w:szCs w:val="21"/>
        </w:rPr>
        <w:t xml:space="preserve">27、确定中标单位</w:t>
      </w:r>
      <w:bookmarkEnd w:id="179"/>
      <w:r/>
      <w:bookmarkEnd w:id="180"/>
      <w:r/>
      <w:bookmarkEnd w:id="181"/>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outlineLvl w:val="1"/>
      </w:pPr>
      <w:r/>
      <w:bookmarkStart w:id="182" w:name="_Toc2001"/>
      <w:r/>
      <w:bookmarkStart w:id="183" w:name="_Toc1346"/>
      <w:r/>
      <w:bookmarkStart w:id="184" w:name="_Toc20452"/>
      <w:r>
        <w:rPr>
          <w:rFonts w:hint="eastAsia" w:ascii="宋体" w:hAnsi="宋体"/>
          <w:b/>
          <w:szCs w:val="21"/>
        </w:rPr>
        <w:t xml:space="preserve">28、质疑处理</w:t>
      </w:r>
      <w:bookmarkEnd w:id="182"/>
      <w:r/>
      <w:bookmarkEnd w:id="183"/>
      <w:r/>
      <w:bookmarkEnd w:id="184"/>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w:t>
      </w:r>
      <w:bookmarkStart w:id="185" w:name="_Toc32253"/>
      <w:r/>
      <w:bookmarkStart w:id="186" w:name="_Toc23929"/>
      <w:r>
        <w:rPr>
          <w:rFonts w:hint="eastAsia" w:ascii="宋体" w:hAnsi="宋体"/>
          <w:bCs/>
          <w:szCs w:val="21"/>
        </w:rPr>
        <w:t xml:space="preserve">7个工作日内提出。</w:t>
      </w:r>
      <w:bookmarkEnd w:id="185"/>
      <w:r/>
      <w:bookmarkEnd w:id="186"/>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outlineLvl w:val="1"/>
      </w:pPr>
      <w:r/>
      <w:bookmarkStart w:id="187" w:name="_Toc1747"/>
      <w:r/>
      <w:bookmarkStart w:id="188" w:name="_Toc10965"/>
      <w:r/>
      <w:bookmarkStart w:id="189" w:name="_Toc29067"/>
      <w:r>
        <w:rPr>
          <w:rFonts w:hint="eastAsia" w:ascii="宋体" w:hAnsi="宋体"/>
          <w:b/>
          <w:szCs w:val="21"/>
        </w:rPr>
        <w:t xml:space="preserve">29、中标通知书</w:t>
      </w:r>
      <w:bookmarkEnd w:id="187"/>
      <w:r/>
      <w:bookmarkEnd w:id="188"/>
      <w:r/>
      <w:bookmarkEnd w:id="189"/>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outlineLvl w:val="1"/>
      </w:pPr>
      <w:r/>
      <w:bookmarkStart w:id="190" w:name="_Toc11797"/>
      <w:r/>
      <w:bookmarkStart w:id="191" w:name="_Toc13861"/>
      <w:r/>
      <w:bookmarkStart w:id="192" w:name="_Toc31143"/>
      <w:r>
        <w:rPr>
          <w:rFonts w:hint="eastAsia" w:ascii="宋体" w:hAnsi="宋体"/>
          <w:b/>
          <w:szCs w:val="21"/>
        </w:rPr>
        <w:t xml:space="preserve">30、签订合同</w:t>
      </w:r>
      <w:bookmarkEnd w:id="190"/>
      <w:r/>
      <w:bookmarkEnd w:id="191"/>
      <w:r/>
      <w:bookmarkEnd w:id="192"/>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outlineLvl w:val="1"/>
      </w:pPr>
      <w:r/>
      <w:bookmarkStart w:id="193" w:name="_Toc14548"/>
      <w:r/>
      <w:bookmarkStart w:id="194" w:name="_Toc18956"/>
      <w:r/>
      <w:bookmarkStart w:id="195" w:name="_Toc14697"/>
      <w:r>
        <w:rPr>
          <w:rFonts w:hint="eastAsia" w:ascii="宋体" w:hAnsi="宋体"/>
          <w:b/>
          <w:szCs w:val="21"/>
        </w:rPr>
        <w:t xml:space="preserve">31、其他</w:t>
      </w:r>
      <w:bookmarkEnd w:id="193"/>
      <w:r/>
      <w:bookmarkEnd w:id="194"/>
      <w:r/>
      <w:bookmarkEnd w:id="195"/>
      <w:r/>
      <w:r/>
    </w:p>
    <w:p>
      <w:pPr>
        <w:ind w:firstLine="422"/>
        <w:spacing w:line="360" w:lineRule="auto"/>
        <w:rPr>
          <w:rFonts w:ascii="宋体" w:hAnsi="宋体"/>
          <w:bCs/>
          <w:szCs w:val="21"/>
        </w:rPr>
      </w:pPr>
      <w:r>
        <w:rPr>
          <w:rFonts w:hint="eastAsia" w:ascii="宋体" w:hAnsi="宋体"/>
          <w:bCs/>
          <w:szCs w:val="21"/>
        </w:rPr>
        <w:t xml:space="preserve">31.1</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pPr>
      <w:r>
        <w:rPr>
          <w:rFonts w:hint="eastAsia" w:ascii="宋体" w:hAnsi="宋体"/>
          <w:bCs/>
          <w:szCs w:val="21"/>
        </w:rPr>
        <w:t xml:space="preserve">32.2</w:t>
      </w:r>
      <w:r>
        <w:rPr>
          <w:rFonts w:hint="eastAsia"/>
        </w:rPr>
        <w:t xml:space="preserve">落实好政府采购履约资金扶持政策。中标/成交供应商可凭政府采购合同办理融资贷款，详见江苏政府采购网“政采贷”专栏。</w:t>
      </w:r>
      <w:r/>
    </w:p>
    <w:p>
      <w:r/>
      <w:bookmarkStart w:id="196" w:name="_Toc229"/>
      <w:r/>
      <w:bookmarkStart w:id="197" w:name="_Toc150173459"/>
      <w:r/>
      <w:bookmarkStart w:id="198" w:name="_Toc14533"/>
      <w:r/>
      <w:bookmarkStart w:id="199" w:name="_Toc55204179"/>
      <w:r/>
      <w:bookmarkStart w:id="200" w:name="_Toc15772"/>
      <w:r/>
      <w:bookmarkStart w:id="201" w:name="_Hlk69392822"/>
      <w:r/>
      <w:r/>
    </w:p>
    <w:p>
      <w:r/>
      <w:bookmarkEnd w:id="196"/>
      <w:r/>
      <w:bookmarkEnd w:id="197"/>
      <w:r/>
      <w:bookmarkEnd w:id="198"/>
      <w:r/>
      <w:bookmarkEnd w:id="199"/>
      <w:r/>
      <w:bookmarkEnd w:id="200"/>
      <w:r/>
      <w:r/>
    </w:p>
    <w:p>
      <w:pPr>
        <w:numPr>
          <w:ilvl w:val="0"/>
          <w:numId w:val="2"/>
        </w:numPr>
        <w:jc w:val="center"/>
        <w:widowControl/>
        <w:rPr>
          <w:sz w:val="32"/>
          <w:szCs w:val="32"/>
        </w:rPr>
      </w:pPr>
      <w:r>
        <w:rPr>
          <w:rFonts w:hint="eastAsia"/>
          <w:sz w:val="32"/>
          <w:szCs w:val="32"/>
        </w:rPr>
        <w:t xml:space="preserve">政府采购合同（服务）</w:t>
      </w:r>
      <w:r/>
    </w:p>
    <w:p>
      <w:pPr>
        <w:widowControl/>
        <w:rPr>
          <w:sz w:val="32"/>
          <w:szCs w:val="32"/>
        </w:rPr>
      </w:pPr>
      <w:r>
        <w:rPr>
          <w:sz w:val="32"/>
          <w:szCs w:val="32"/>
        </w:rPr>
      </w:r>
      <w:bookmarkEnd w:id="201"/>
      <w:r/>
      <w:r/>
    </w:p>
    <w:p>
      <w:pPr>
        <w:jc w:val="left"/>
        <w:spacing w:line="360" w:lineRule="auto"/>
        <w:widowControl/>
        <w:rPr>
          <w:rFonts w:ascii="宋体" w:hAnsi="宋体" w:cs="宋体"/>
          <w:szCs w:val="21"/>
        </w:rPr>
      </w:pPr>
      <w:r/>
      <w:bookmarkStart w:id="202" w:name="_Toc27373"/>
      <w:r/>
      <w:bookmarkStart w:id="203" w:name="_Toc150173460"/>
      <w:r/>
      <w:bookmarkStart w:id="204" w:name="_Toc15511"/>
      <w:r/>
      <w:bookmarkStart w:id="205" w:name="_Toc9901"/>
      <w:r>
        <w:rPr>
          <w:rFonts w:hint="eastAsia" w:ascii="宋体" w:hAnsi="宋体" w:cs="宋体"/>
          <w:color w:val="000000"/>
          <w:szCs w:val="21"/>
          <w:lang w:bidi="ar"/>
        </w:rPr>
        <w:t xml:space="preserve">项目名称：</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编    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甲方（采购人/买方）：</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乙方（供应商/卖方）：</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根据《中华人民共和国政府采购法》、《中华人民共和国民法典》等法律法规的规定，甲乙双方按照本项目招标结果签订本合同。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1、合同标的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乙方根据甲方需求，提供下列服务：</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服务内容等要求详见招投标文件。</w:t>
      </w:r>
      <w:r>
        <w:rPr>
          <w:rFonts w:hint="eastAsia" w:ascii="宋体" w:hAnsi="宋体" w:cs="宋体"/>
          <w:b/>
          <w:bCs/>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2、合同总金额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2.1 本合同金额（优惠率）为（大写）：百分之</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2.2 本合同总金额包括乙方提供的服务及其他有关的为完成本项目发生的所有费用，招标文件中另有规定的除外。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2.3 在招标文件未列明，而乙方认为履行本合同必需的费用也包含在合同总金额中。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2.4 本合同总金额还包含乙方提供的伴随服务/售后服务费用。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3、组成本合同的有关文件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3.1 乙方应按招标文件规定的时间向甲方提供服务的有关技术资料。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3.2 没有甲方事先书面同意，乙方不得将由甲方提供的有关合同或任何合同条文或资料提供给任何其他人。即使向履行本合同有关的人员提供，也应注意保密并限于履行合同的必需范围。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3.3 关于本项目政府采购的招投标文件或与本次采购活动方式相适应的文件及有关附件是本合同不可分割的组成部分，这些文件包括但不限于：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（1）投标响应文件；        （2）投标报价文件；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（3）项目组人员表          （4）技术参数、商务条款响应及偏离表；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（5）服务承诺；            （6）中标通知书； </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（7）甲乙双方补充协议；    （8）乙方投标时提供的响应文件。</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4、知识产权保证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乙方保证甲方在使用、接受本合同服务或其任何一部分时，不受第三方提出侵犯其专利权、版权、商标权和工业设计权等知识产权的起诉。一旦出现侵权，由乙方负全部责任。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5、产权保证 </w:t>
      </w:r>
      <w:r>
        <w:rPr>
          <w:rFonts w:hint="eastAsia" w:ascii="宋体" w:hAnsi="宋体" w:cs="宋体"/>
          <w:color w:val="000000"/>
          <w:szCs w:val="21"/>
          <w:lang w:bidi="ar"/>
        </w:rPr>
        <w:t xml:space="preserve">乙方保证所交付的服务和服务所涉及的物品所有权无任何抵押、查封等权利瑕疵。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6、履约保证金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6.2 </w:t>
      </w:r>
      <w:r>
        <w:rPr>
          <w:rFonts w:hint="eastAsia" w:ascii="宋体" w:hAnsi="宋体" w:cs="宋体"/>
          <w:color w:val="000000"/>
          <w:szCs w:val="21"/>
          <w:lang w:bidi="ar"/>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6.3 </w:t>
      </w:r>
      <w:r>
        <w:rPr>
          <w:rFonts w:hint="eastAsia" w:ascii="宋体" w:hAnsi="宋体" w:cs="宋体"/>
          <w:color w:val="000000"/>
          <w:szCs w:val="21"/>
          <w:lang w:bidi="ar"/>
        </w:rPr>
        <w:t xml:space="preserve">履约保证金的退还：合同履行结束后，承包人凭发包人签署的项目验收单或项目验收报告，向发包人提请办理履约保证金退还手续，发包人在收到提请后三十日内以非现金形式予以退还，逾期退还的，按中国人民银行同期贷款基准利率上浮20%后的利率支付超期资金占用费，但因承包人自身原因导致无法及时退还的除外。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6.4 </w:t>
      </w:r>
      <w:r>
        <w:rPr>
          <w:rFonts w:hint="eastAsia" w:ascii="宋体" w:hAnsi="宋体" w:cs="宋体"/>
          <w:color w:val="000000"/>
          <w:szCs w:val="21"/>
          <w:lang w:bidi="ar"/>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 履约保证金用以约束乙方在合同履行中的行为，以及弥补合同履行中由于乙方自身行为可能给甲方带来的各种损失；若履约保证金额不足以弥补乙方违约造成甲方损失的，甲方可继续向乙方主张索赔。 </w:t>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 履约保证金扣除甲方应得的补偿后的余额，在本合同履行结束后由甲方无息退还。 </w:t>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val="en-US" w:eastAsia="zh-CN" w:bidi="ar"/>
        </w:rPr>
        <w:t xml:space="preserve">7</w:t>
      </w:r>
      <w:r>
        <w:rPr>
          <w:rFonts w:hint="eastAsia" w:ascii="宋体" w:hAnsi="宋体" w:cs="宋体"/>
          <w:color w:val="000000"/>
          <w:szCs w:val="21"/>
          <w:highlight w:val="none"/>
          <w:lang w:bidi="ar"/>
        </w:rPr>
        <w:t xml:space="preserve"> 履约保证收取：不收取履约保证金。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7、转包或分包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7.1 本合同禁止转包，本合同范围的服务，应由乙方直接提供的，不得转让他人提供。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7.2 经甲方同意，乙方可以依法采取分包方式履行合同，但是分包方式履行的，乙方应就采购项目向甲方负全责。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8、服务期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8.1 服务期：</w:t>
      </w:r>
      <w:r>
        <w:rPr>
          <w:rFonts w:hint="eastAsia" w:ascii="宋体" w:hAnsi="宋体" w:cs="宋体"/>
          <w:color w:val="000000"/>
          <w:szCs w:val="21"/>
          <w:u w:val="single"/>
          <w:lang w:bidi="ar"/>
        </w:rPr>
        <w:t xml:space="preserve">  一年（经甲方考核合格后，可续签一年）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9、交付期、交付方式及交付地点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9.1 交付期：_________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9.2 交付方式：_________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9.3 交付地点：</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10、货款支付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10.1 本合同项下所有款项均以人民币支付。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10.2 本合同项下的采购资金由甲方支付，付款前乙方向甲方开具发票。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10.3 甲方付款方式： </w:t>
      </w:r>
      <w:r/>
    </w:p>
    <w:p>
      <w:pPr>
        <w:jc w:val="left"/>
        <w:spacing w:line="360" w:lineRule="auto"/>
        <w:widowControl/>
        <w:rPr>
          <w:rFonts w:hint="eastAsia" w:ascii="宋体" w:hAnsi="宋体" w:eastAsia="宋体" w:cs="宋体"/>
          <w:b/>
          <w:bCs/>
          <w:color w:val="000000"/>
          <w:szCs w:val="21"/>
          <w:highlight w:val="none"/>
          <w:lang w:eastAsia="zh-CN" w:bidi="ar"/>
        </w:rPr>
      </w:pPr>
      <w:r>
        <w:rPr>
          <w:rFonts w:hint="eastAsia" w:ascii="宋体" w:hAnsi="宋体" w:cs="宋体"/>
          <w:b/>
          <w:bCs/>
          <w:color w:val="000000"/>
          <w:szCs w:val="21"/>
          <w:highlight w:val="none"/>
          <w:lang w:bidi="ar"/>
        </w:rPr>
        <w:t xml:space="preserve">合同期间，食材供应价格按验收单确认的配送数量*配送食材当天的扬州市发改结委网站“价格监测”栏目上的价格*合同折扣进行</w:t>
      </w:r>
      <w:r>
        <w:rPr>
          <w:rFonts w:hint="eastAsia" w:ascii="宋体" w:hAnsi="宋体" w:cs="宋体"/>
          <w:b/>
          <w:bCs/>
          <w:color w:val="000000"/>
          <w:szCs w:val="21"/>
          <w:highlight w:val="none"/>
          <w:lang w:val="en-US" w:eastAsia="zh-CN" w:bidi="ar"/>
        </w:rPr>
        <w:t xml:space="preserve">结</w:t>
      </w:r>
      <w:r>
        <w:rPr>
          <w:rFonts w:hint="eastAsia" w:ascii="宋体" w:hAnsi="宋体" w:cs="宋体"/>
          <w:b/>
          <w:bCs/>
          <w:color w:val="000000"/>
          <w:szCs w:val="21"/>
          <w:highlight w:val="none"/>
          <w:lang w:bidi="ar"/>
        </w:rPr>
        <w:t xml:space="preserve">算(参照以往结算价格及市场行情)，次月根据实际供应情况进行结算兑付</w:t>
      </w:r>
      <w:r>
        <w:rPr>
          <w:rFonts w:hint="eastAsia" w:ascii="宋体" w:hAnsi="宋体" w:cs="宋体"/>
          <w:b/>
          <w:bCs/>
          <w:color w:val="000000"/>
          <w:szCs w:val="21"/>
          <w:highlight w:val="none"/>
          <w:lang w:eastAsia="zh-CN" w:bidi="ar"/>
        </w:rPr>
        <w:t xml:space="preserve">。</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11、税费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本合同执行中相关的一切税费均由乙方负担。</w:t>
      </w:r>
      <w:r>
        <w:rPr>
          <w:rFonts w:hint="eastAsia" w:ascii="宋体" w:hAnsi="宋体" w:cs="宋体"/>
          <w:b/>
          <w:bCs/>
          <w:color w:val="000000"/>
          <w:szCs w:val="21"/>
          <w:lang w:bidi="ar"/>
        </w:rPr>
        <w:t xml:space="preserve"> </w:t>
      </w:r>
      <w:r/>
    </w:p>
    <w:p>
      <w:pPr>
        <w:numPr>
          <w:ilvl w:val="0"/>
          <w:numId w:val="3"/>
        </w:numPr>
        <w:jc w:val="left"/>
        <w:spacing w:line="360" w:lineRule="auto"/>
        <w:widowControl/>
        <w:rPr>
          <w:rFonts w:ascii="宋体" w:hAnsi="宋体" w:cs="宋体"/>
          <w:b/>
          <w:bCs/>
          <w:color w:val="000000"/>
          <w:szCs w:val="21"/>
          <w:lang w:bidi="ar"/>
        </w:rPr>
      </w:pPr>
      <w:r>
        <w:rPr>
          <w:rFonts w:hint="eastAsia" w:ascii="宋体" w:hAnsi="宋体" w:cs="宋体"/>
          <w:b/>
          <w:bCs/>
          <w:color w:val="000000"/>
          <w:szCs w:val="21"/>
          <w:lang w:bidi="ar"/>
        </w:rPr>
        <w:t xml:space="preserve">质量保证及售后服务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12.1 乙方应按招标文件规定及响应文件承诺的技术性能、技术要求、质量标准向甲方提供服务；若无特殊说明，则按国家有关部门最新颁布的标准及规范为准。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12.2 乙方应保证其提供的服务是全面和规范的，并完全符合招投标文件。如因乙方提供的服务有瑕疵造成甲方损失的，所需费用由乙方承担。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12.3 如在使用过程中发生质量问题，乙方在接到甲方通知后在_________小时内到达甲方现场。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12.4 免费维保期内，乙方应对所提供服务出现的质量及安全问题负责处理解决并承担一切费用。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13、交付和验收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13.1 乙方应当在合同签订后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天内完成服务事项，招标文件有约定的，从其约定。在交付前，乙方应作出全面检查和对验收文件进行整理，并列出清单，作为甲方初验收和使用的技术条件依据，检验的结果交甲方。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13.2 验收标准：按乙方投标文件的承诺，并不低于国家相关标准。对于乙方要交付的服务，甲乙双方须在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13.3 乙方按照招标文件要求负责安装并培训甲方的使用操作人员，乙方在甲方使用前进行调试，调试直到符合技术要求的甲方才做最终验收。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13.5 甲乙双方关于调试和验收的其他约定：</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14、交付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14.1 服务在交付甲方前发生的风险均由乙方负责。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14.2 服务在规定的交付期限内由乙方送达甲方指定的地点。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15、违约责任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15.1 甲方无正当理由拒绝初验收和终验收服务项目的，甲方应按未付服务项目款金额每日万分之五向乙方支付违约金。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15.2 甲方无故逾期验收和无故逾期办理款项支付手续的,甲方应按逾期付款金额每日万分之五向乙方支付违约金。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15.3 乙方违约，在消除违约情形前，应按本合同项目总额每日万分之五向甲方支付违约金，甲方可以从待付款项中扣除。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15.4 乙方因逾期交付服务项目或因其他违约行为，导致甲方解除合同的，乙方应向甲方支付合同总值 5%的违约金，如造成甲方损失超过违约金的，超出部分由乙方继续承担赔偿责任。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15.6 合同生效后，发现乙方投标属虚假承诺，或经权威部门监测提供的服务不能满足招标文件要求，造成合同无法继续履行的，乙方履约保证金不予退还外，还应向甲方支付不少于合同总价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%赔偿金。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16、不可抗力事件处理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 120 天以上，双方应通过友好协商，确定是否继续履行合同。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17、争议解决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17.1 因服务的品质质量问题发生争议的，可在国家认可的质量检测机构对服务内容质量进行鉴定。服务符合标准的，鉴定费由甲方承担；服务项目不符合质量标准的，鉴定费由乙方承担。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17.2 因履行本合同引起的或与本合同有关的争议，甲、乙双方应首先通过友好协商解决；如果协商不能解决争议，甲乙双方同意采取下列两种方式的第（1）种方式解决争议：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（1）向甲方所在地有管辖权的人民法院提起诉讼，适用中华人民共和国法律；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（2）向扬州仲裁委员会按其仲裁规则申请仲裁。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17.3 若甲乙双方任何一方都没有选择解除合同的，为避免扩大损失，在诉讼或仲裁期间，双方应继续履行。 </w:t>
      </w:r>
      <w:r/>
    </w:p>
    <w:p>
      <w:pPr>
        <w:jc w:val="left"/>
        <w:spacing w:line="360" w:lineRule="auto"/>
        <w:widowControl/>
        <w:rPr>
          <w:rFonts w:ascii="宋体" w:hAnsi="宋体" w:cs="宋体"/>
          <w:szCs w:val="21"/>
        </w:rPr>
      </w:pPr>
      <w:r>
        <w:rPr>
          <w:rFonts w:hint="eastAsia" w:ascii="宋体" w:hAnsi="宋体" w:cs="宋体"/>
          <w:b/>
          <w:bCs/>
          <w:color w:val="000000"/>
          <w:szCs w:val="21"/>
          <w:lang w:bidi="ar"/>
        </w:rPr>
        <w:t xml:space="preserve">18、合同其它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18.1 乙方应诚实信用，严格按照招标文件要求和投标承诺履行合同，不向甲方进行商业贿赂或者提供不正当利益。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18.2 合同经双方法定代表人或授权代表签字并加盖单位公章，并经招标代理机构见证盖章后生效。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18.2 本合同未尽事宜，遵照《民法典》有关条文执行。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18.3 本合同正本一式伍份，具有同等法律效力，甲方、乙方各执贰份、代理方执壹份。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甲方：                                        乙方：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地址：                                        地址：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法定代表人或授权代表：                        法定代表人或授权代表： </w:t>
      </w:r>
      <w:r/>
    </w:p>
    <w:p>
      <w:pPr>
        <w:jc w:val="left"/>
        <w:spacing w:line="360" w:lineRule="auto"/>
        <w:widowControl/>
        <w:rPr>
          <w:rFonts w:ascii="宋体" w:hAnsi="宋体" w:cs="宋体"/>
          <w:szCs w:val="21"/>
        </w:rPr>
      </w:pPr>
      <w:r>
        <w:rPr>
          <w:rFonts w:hint="eastAsia" w:ascii="宋体" w:hAnsi="宋体" w:cs="宋体"/>
          <w:color w:val="000000"/>
          <w:szCs w:val="21"/>
          <w:lang w:bidi="ar"/>
        </w:rPr>
        <w:t xml:space="preserve">联系电话：                                    联系电话：</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日期： 年 月 日                               日期： 年 月 日</w:t>
      </w:r>
      <w:r/>
    </w:p>
    <w:p>
      <w:pPr>
        <w:jc w:val="left"/>
        <w:spacing w:line="360" w:lineRule="auto"/>
        <w:widowControl/>
        <w:rPr>
          <w:rFonts w:ascii="宋体" w:hAnsi="宋体" w:cs="宋体"/>
          <w:color w:val="000000"/>
          <w:szCs w:val="21"/>
          <w:lang w:bidi="ar"/>
        </w:rPr>
      </w:pPr>
      <w:r>
        <w:rPr>
          <w:rFonts w:ascii="宋体" w:hAnsi="宋体" w:cs="宋体"/>
          <w:color w:val="000000"/>
          <w:szCs w:val="21"/>
          <w:lang w:bidi="ar"/>
        </w:rPr>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见证方： </w:t>
      </w:r>
      <w:r/>
    </w:p>
    <w:p>
      <w:pPr>
        <w:jc w:val="left"/>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日期：     年   月   日</w:t>
      </w:r>
      <w:r/>
    </w:p>
    <w:p>
      <w:pPr>
        <w:ind w:left="3449"/>
        <w:spacing w:before="142" w:line="333" w:lineRule="exact"/>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ind w:left="3449"/>
        <w:spacing w:before="142" w:line="333" w:lineRule="exact"/>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98"/>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98"/>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98"/>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98"/>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98"/>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98"/>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ind w:left="3449"/>
        <w:spacing w:before="142" w:line="333" w:lineRule="exact"/>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ind w:left="3449"/>
        <w:spacing w:before="142" w:line="333" w:lineRule="exact"/>
        <w:rPr>
          <w:rFonts w:ascii="微软雅黑" w:hAnsi="微软雅黑" w:eastAsia="微软雅黑" w:cs="微软雅黑"/>
          <w:color w:val="6d6d6d"/>
          <w:spacing w:val="-7"/>
          <w:position w:val="-2"/>
          <w:sz w:val="33"/>
          <w:szCs w:val="33"/>
        </w:rPr>
      </w:pPr>
      <w:r>
        <w:rPr>
          <w:rFonts w:ascii="微软雅黑" w:hAnsi="微软雅黑" w:eastAsia="微软雅黑" w:cs="微软雅黑"/>
          <w:color w:val="6d6d6d"/>
          <w:spacing w:val="-7"/>
          <w:position w:val="-2"/>
          <w:sz w:val="33"/>
          <w:szCs w:val="33"/>
        </w:rPr>
      </w:r>
      <w:r/>
    </w:p>
    <w:p>
      <w:pPr>
        <w:pStyle w:val="782"/>
        <w:numPr>
          <w:ilvl w:val="0"/>
          <w:numId w:val="4"/>
        </w:numPr>
        <w:rPr>
          <w:sz w:val="32"/>
          <w:szCs w:val="32"/>
        </w:rPr>
      </w:pPr>
      <w:r>
        <w:rPr>
          <w:rFonts w:hint="eastAsia"/>
          <w:sz w:val="32"/>
          <w:szCs w:val="32"/>
        </w:rPr>
        <w:t xml:space="preserve">项目需求</w:t>
      </w:r>
      <w:bookmarkEnd w:id="202"/>
      <w:r/>
      <w:bookmarkEnd w:id="203"/>
      <w:r/>
      <w:bookmarkEnd w:id="204"/>
      <w:r/>
      <w:bookmarkEnd w:id="205"/>
      <w:r/>
      <w:r/>
    </w:p>
    <w:p>
      <w:pPr>
        <w:ind w:firstLine="482"/>
        <w:spacing w:line="520" w:lineRule="exact"/>
        <w:rPr>
          <w:b/>
          <w:bCs/>
          <w:sz w:val="24"/>
        </w:rPr>
      </w:pPr>
      <w:r/>
      <w:bookmarkStart w:id="206" w:name="_Toc12887271"/>
      <w:r/>
      <w:bookmarkStart w:id="207" w:name="_Toc32069"/>
      <w:r/>
      <w:bookmarkStart w:id="208" w:name="_Toc55204181"/>
      <w:r/>
      <w:bookmarkStart w:id="209" w:name="_Toc150173461"/>
      <w:r/>
      <w:bookmarkStart w:id="210" w:name="_Toc5863"/>
      <w:r/>
      <w:bookmarkStart w:id="211" w:name="_Toc24514"/>
      <w:r>
        <w:rPr>
          <w:rFonts w:hint="eastAsia"/>
          <w:b/>
          <w:bCs/>
          <w:sz w:val="24"/>
        </w:rPr>
        <w:t xml:space="preserve">一、项目名称</w:t>
      </w:r>
      <w:r>
        <w:rPr>
          <w:rFonts w:hint="eastAsia"/>
          <w:bCs/>
          <w:sz w:val="24"/>
        </w:rPr>
        <w:t xml:space="preserve">：高邮市龙虬镇政府食堂食材供应公司公开招标项目</w:t>
      </w:r>
      <w:r/>
    </w:p>
    <w:p>
      <w:pPr>
        <w:ind w:firstLine="482"/>
        <w:spacing w:line="520" w:lineRule="exact"/>
        <w:rPr>
          <w:rFonts w:hint="eastAsia"/>
          <w:b/>
          <w:bCs/>
          <w:sz w:val="24"/>
        </w:rPr>
      </w:pPr>
      <w:r>
        <w:rPr>
          <w:rFonts w:hint="eastAsia"/>
          <w:b/>
          <w:bCs/>
          <w:sz w:val="24"/>
        </w:rPr>
        <w:t xml:space="preserve">二、</w:t>
      </w:r>
      <w:bookmarkEnd w:id="206"/>
      <w:r>
        <w:rPr>
          <w:rFonts w:hint="eastAsia"/>
          <w:b/>
          <w:bCs/>
          <w:sz w:val="24"/>
        </w:rPr>
        <w:t xml:space="preserve">服务时间：</w:t>
      </w:r>
      <w:r>
        <w:rPr>
          <w:rFonts w:hint="eastAsia"/>
          <w:bCs/>
          <w:sz w:val="24"/>
        </w:rPr>
        <w:t xml:space="preserve">一年（经甲方考核合格后，可续签一年）</w:t>
      </w:r>
      <w:r/>
    </w:p>
    <w:p>
      <w:pPr>
        <w:ind w:firstLine="482"/>
        <w:spacing w:line="520" w:lineRule="exact"/>
        <w:tabs>
          <w:tab w:val="left" w:pos="4040" w:leader="none"/>
        </w:tabs>
        <w:rPr>
          <w:rFonts w:cs="Arial"/>
          <w:bCs/>
          <w:sz w:val="24"/>
        </w:rPr>
      </w:pPr>
      <w:r>
        <w:rPr>
          <w:rFonts w:hint="eastAsia" w:cs="Arial"/>
          <w:b/>
          <w:bCs/>
          <w:sz w:val="24"/>
        </w:rPr>
        <w:t xml:space="preserve">三、服务内容</w:t>
      </w:r>
      <w:r>
        <w:rPr>
          <w:rFonts w:hint="eastAsia" w:cs="Arial"/>
          <w:bCs/>
          <w:sz w:val="24"/>
        </w:rPr>
        <w:t xml:space="preserve">：</w:t>
      </w:r>
      <w:r>
        <w:rPr>
          <w:rFonts w:cs="Arial"/>
          <w:bCs/>
          <w:sz w:val="24"/>
          <w:lang w:val="en-US"/>
        </w:rPr>
        <w:t xml:space="preserve">包括但不限于蔬菜类、禽蛋豆制品类、水产类、肉类、水果类、速食类、面点类、乳制品类等。</w:t>
      </w:r>
      <w:r>
        <w:rPr>
          <w:rFonts w:hint="eastAsia" w:cs="Arial"/>
          <w:bCs/>
          <w:sz w:val="24"/>
        </w:rPr>
        <w:t xml:space="preserve">所有食材必须安全、卫生、无毒、无害，符合食品卫生质量要求。</w:t>
      </w:r>
      <w:r/>
    </w:p>
    <w:p>
      <w:pPr>
        <w:ind w:firstLine="482"/>
        <w:spacing w:line="520" w:lineRule="exact"/>
        <w:tabs>
          <w:tab w:val="left" w:pos="4040" w:leader="none"/>
        </w:tabs>
        <w:rPr>
          <w:rFonts w:cs="Arial"/>
          <w:bCs/>
          <w:sz w:val="24"/>
        </w:rPr>
      </w:pPr>
      <w:r>
        <w:rPr>
          <w:rFonts w:hint="eastAsia" w:cs="Arial"/>
          <w:b/>
          <w:bCs/>
          <w:sz w:val="24"/>
        </w:rPr>
        <w:t xml:space="preserve">四、服务要求</w:t>
      </w:r>
      <w:r>
        <w:rPr>
          <w:rFonts w:hint="eastAsia" w:cs="Arial"/>
          <w:bCs/>
          <w:sz w:val="24"/>
        </w:rPr>
        <w:t xml:space="preserve">：</w:t>
      </w:r>
      <w:r/>
    </w:p>
    <w:p>
      <w:pPr>
        <w:ind w:firstLine="482"/>
        <w:spacing w:line="440" w:lineRule="exact"/>
        <w:rPr>
          <w:rFonts w:hint="eastAsia" w:ascii="宋体" w:hAnsi="宋体"/>
          <w:color w:val="000000"/>
          <w:sz w:val="24"/>
          <w:szCs w:val="24"/>
        </w:rPr>
      </w:pPr>
      <w:r>
        <w:rPr>
          <w:rFonts w:hint="eastAsia" w:ascii="宋体" w:hAnsi="宋体"/>
          <w:b/>
          <w:bCs/>
          <w:color w:val="000000"/>
          <w:sz w:val="24"/>
          <w:szCs w:val="24"/>
        </w:rPr>
        <w:t xml:space="preserve">1、质量要求：</w:t>
      </w:r>
      <w:r>
        <w:rPr>
          <w:rFonts w:hint="eastAsia" w:ascii="宋体" w:hAnsi="宋体"/>
          <w:color w:val="000000"/>
          <w:sz w:val="24"/>
          <w:szCs w:val="24"/>
        </w:rPr>
        <w:t xml:space="preserve">供应商所有原辅食料原则上必须对照执行现行强制性国家标准（GB）,在可选择范围内优先选择执行GB标准号的同类产品，其中：</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（1）禽肉类、肉类、冻品类必须提供《动物检疫合格证》和《肉品品质检验合格证》，符合GB2707国标，色泽正常，无异味，无注水；</w:t>
      </w:r>
      <w:r/>
    </w:p>
    <w:p>
      <w:pPr>
        <w:ind w:firstLine="480"/>
        <w:spacing w:line="440" w:lineRule="exact"/>
        <w:rPr>
          <w:rFonts w:hint="eastAsia" w:ascii="宋体" w:hAnsi="宋体"/>
          <w:sz w:val="24"/>
          <w:szCs w:val="24"/>
        </w:rPr>
      </w:pPr>
      <w:r>
        <w:rPr>
          <w:rFonts w:hint="eastAsia" w:ascii="宋体" w:hAnsi="宋体" w:cs="微软雅黑"/>
          <w:sz w:val="24"/>
          <w:szCs w:val="24"/>
        </w:rPr>
        <w:t xml:space="preserve">（2）果蔬类必须提供农药残留检测报告，保证新鲜，不</w:t>
      </w:r>
      <w:r>
        <w:rPr>
          <w:rFonts w:hint="eastAsia" w:ascii="宋体" w:hAnsi="宋体"/>
          <w:sz w:val="24"/>
          <w:szCs w:val="24"/>
        </w:rPr>
        <w:t xml:space="preserve">腐烂变质，且符合GB2763-2014国家标准要求（农产品必须是当天新鲜产品）；</w:t>
      </w:r>
      <w:r/>
    </w:p>
    <w:p>
      <w:pPr>
        <w:ind w:firstLine="480"/>
        <w:spacing w:line="440" w:lineRule="exact"/>
        <w:rPr>
          <w:rFonts w:hint="eastAsia" w:ascii="宋体" w:hAnsi="宋体"/>
          <w:sz w:val="24"/>
          <w:szCs w:val="24"/>
        </w:rPr>
      </w:pPr>
      <w:r>
        <w:rPr>
          <w:rFonts w:hint="eastAsia" w:ascii="宋体" w:hAnsi="宋体"/>
          <w:sz w:val="24"/>
          <w:szCs w:val="24"/>
        </w:rPr>
        <w:t xml:space="preserve">（3）水（海）产类必须是质优、无污染、无变质。符合GB2733-2015、GB10316-2015国家标准；</w:t>
      </w:r>
      <w:r/>
    </w:p>
    <w:p>
      <w:pPr>
        <w:ind w:firstLine="480"/>
        <w:spacing w:line="440" w:lineRule="exact"/>
        <w:rPr>
          <w:rFonts w:hint="eastAsia" w:ascii="宋体" w:hAnsi="宋体" w:cs="微软雅黑"/>
          <w:sz w:val="24"/>
          <w:szCs w:val="24"/>
        </w:rPr>
      </w:pPr>
      <w:r>
        <w:rPr>
          <w:rFonts w:hint="eastAsia" w:ascii="宋体" w:hAnsi="宋体"/>
          <w:sz w:val="24"/>
          <w:szCs w:val="24"/>
        </w:rPr>
        <w:t xml:space="preserve">（</w:t>
      </w:r>
      <w:r>
        <w:rPr>
          <w:rFonts w:hint="eastAsia" w:ascii="宋体" w:hAnsi="宋体" w:cs="微软雅黑"/>
          <w:sz w:val="24"/>
          <w:szCs w:val="24"/>
        </w:rPr>
        <w:t xml:space="preserve">4）豆制品类具有“QS”食品质量安全认证，并提供产品合格证明文件，符合GB2711-2003国标；</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（5）大米须提供检测报告，保证新鲜，不过期变质，色泽正常滋润、且符合《农产品质量安全法》要求；具有“QS”食品质量安全认证，并提供产品合格证明文件；</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（6）家禽类需提供《动物检疫合格证》和养殖基地有效证件，符合GB2707-2005国标，色泽正常，无异味；</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（7）酱腌菜类亚硝酸盐定期抽检合格，符合《食品安全法》要求；</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（8）蛋类保证新鲜，且符合GB2748国家标准要求，能提供养殖基地有效证件。</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（9）面类须提供检测报告，保证新鲜，不腐烂变质，且符合《农产品质量安全法》要求；</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10）调味及其他类：生产企业具有生产许可证（包括企业食品生产许可证、小作坊食品生产许可证和小作坊中心食品生产许可证），产品具有SC标识的生产许可证号，符合食品卫生要求和标准。产品无变质、无污染、质优。</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食品添加剂使用符合GB2760-2014国家标准，豆制品符合GB2711、GB2712国家标准。奶类，其中生乳符合 GB19301-2010，酸奶制品要符合GB19645或GB19302国家标准。</w:t>
      </w:r>
      <w:r/>
    </w:p>
    <w:p>
      <w:pPr>
        <w:jc w:val="left"/>
        <w:spacing w:line="440" w:lineRule="exact"/>
        <w:widowControl/>
        <w:rPr>
          <w:rFonts w:hint="eastAsia" w:ascii="宋体" w:hAnsi="宋体"/>
          <w:b/>
          <w:bCs/>
          <w:color w:val="000000"/>
          <w:sz w:val="24"/>
          <w:szCs w:val="24"/>
        </w:rPr>
      </w:pPr>
      <w:r>
        <w:rPr>
          <w:rFonts w:hint="eastAsia" w:ascii="宋体" w:hAnsi="宋体"/>
          <w:b/>
          <w:bCs/>
          <w:color w:val="000000"/>
          <w:sz w:val="24"/>
          <w:szCs w:val="24"/>
        </w:rPr>
        <w:t xml:space="preserve">     2、配送要求:</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配送车辆须是冷藏车或厢式货车。为保证配送新鲜，不腐烂变质，根据实际需求，每天6:00-7:00将食堂采购物资配送到位；应急情况下，在接到食堂采购需求计划后，于30分钟之内响应，1.5小时内完成或提出解决方案。</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每批配送的货物都要附送货单据，单据详细列明货物品名、规格（单位）、单价、数量、总价等。单据由供应商指定的配送人员及食堂指定的收货员双人签字生效，供应商要妥善保管送货单存根，以便备查。</w:t>
      </w:r>
      <w:r/>
    </w:p>
    <w:p>
      <w:pPr>
        <w:spacing w:line="440" w:lineRule="exact"/>
        <w:rPr>
          <w:rFonts w:hint="eastAsia" w:ascii="宋体" w:hAnsi="宋体"/>
          <w:b/>
          <w:bCs/>
          <w:color w:val="000000"/>
          <w:sz w:val="24"/>
          <w:szCs w:val="24"/>
        </w:rPr>
      </w:pPr>
      <w:r>
        <w:rPr>
          <w:rFonts w:hint="eastAsia" w:ascii="宋体" w:hAnsi="宋体"/>
          <w:b/>
          <w:bCs/>
          <w:color w:val="000000"/>
          <w:sz w:val="24"/>
          <w:szCs w:val="24"/>
        </w:rPr>
        <w:t xml:space="preserve">    3、配送具体标准</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（1）蔬菜：</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做到去根、去菜帮、去粗垃圾，种植中不使用禁用农药，不违规使用农药，能保证源头质量和开展农残检测；</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必须是质优、新鲜、无污染、无变质，蔬菜农药残留在国家规定GB2763-2014允许的范围内，每批次应携带农药残留检测合格证明。</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（2）禽蛋类： </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必须是不霉烂、无酸变、无腐烂、无变质、整齐、均匀、完整、质优、无污染，硫等物质含量不得超过国家有关规定，符合食品安全要求的产品。</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质量要求为鲜蛋外壳有光泽；用光照,能透光,呈桔红色,气室小而透亮,蛋黄轮廓完整清晰,无斑点；用鼻闻,清新、无异味；将蛋轻轻摇动,听不到声音或感觉不到振动，鲜鸡蛋依据标准GB 2748-2003《鲜鸡蛋卫生标准》。每批次货物提供必要的质量证明材料。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（3）豆制品:</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生产企业具有生产许可证（包括企业食品生产许可证、小作坊食品生产许可证和小作坊中心食品生产许可证），符合BG/T22106-2008、GB2712-2014标准国家标准，能提供生产商的产品执行标准。</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必须是当天生产，无酸变、无腐烂、质优、无污染、无变质，符合食品安全要求的产品，每批次货物提供必要的质量证明材料。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（4）干货类：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干货类产品必须是质优、无污染、无变质、保持应有的色泽，硫等物质含量不得超过国家有关规定，符合食品安全要求的产品，产品经食品质量安全QS或SC认证。每批次货物提供必要的质量证明材料。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（5）调味品:</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知名品牌产品，且质优、无污染、无变质、保持应有的色泽，硫等物质含量不得超过国家有关规定，包装无污染、无泄漏，无胀袋、胖听、鼓盖现象，无变质发霉现象。产品经食品质量安全QS或SC认证。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（6） 水、海产品类：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必须是鲜活、质优、无污染、无变质、无异味，符合食品安全要求的产品，每批次货物提供必要的质量证明材料。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（7）鲜猪肉、禽肉等：</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必须是质优、无污染、无变质，符合食品安全要求的产品。符合鲜(冻)畜肉卫生标准GB2707-2005，并具有动物检验检疫合格证明。</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鸡鸭等禽类必须去内脏，提供检疫证明。鸡鸭等禽类脱毛应符合规定，并提供相应的合格证明材料。为保障产品质量，供应商应提供当天屠宰的猪肉、禽肉类产品。运输须使用符合国家卫生标准的运载工具，运输冷鲜（冻）肉应当使用具有保温措施的车辆，车辆必须要保持清洁、卫生，使用前后要清洗消毒。</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（8）冷冻食品：</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冷冻食品必须符合国家现行标准，并具有“QS或SC” 企业食品生产许可标识。生产厂家必须为冷冻品生产企业或大型的专业批发企业。</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（9）腌腊制品类：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必须是无酸变、无腐烂、质优、无污染、无变质、保持应有的色泽，硫等物质含量不得超过国家有关规定，符合食品安全要求的产品，产品具QS认证或食品生产许可。每批次货物提供必要的质量证明材料。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（10）牛(酸)奶饮料类：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质量应符合《中华人民共和国食品安全法》、《乳品质量安全监督管理条例</w:t>
      </w:r>
      <w:r>
        <w:rPr>
          <w:rFonts w:hint="eastAsia" w:ascii="宋体" w:hAnsi="宋体"/>
          <w:color w:val="000000"/>
          <w:sz w:val="24"/>
          <w:szCs w:val="24"/>
        </w:rPr>
        <w:t xml:space="preserve">》、《食品添加剂卫生管理办法》和卫生部（卫通[2010]7号）文件《卫生部发布〈生乳〉(GB19301-2010)等66项食品安全国家标准》中有关饮用奶的相关规定要求。收购的生鲜乳和饮用奶成品中禁止含有革皮水解物（即皮革水解蛋白）。调味奶其中的食品添加剂的使用规范和标准必须符合国家有关饮用奶的相关标准目录和标准计量的规定，并且符合卫生部发布的《食品安全国家标准食品添加剂使用标准》（GB2760—2011）中有关饮用奶的相关标准要求。禁止在饮用奶中使用任何食品营养强化剂、稳定剂和防腐剂等国家明令禁止的添加物。</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（11）水果类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必须是新鲜、质优、无污染、无变质、无异味，符合食品安全要求的产品，每批次货物提供必要的质量证明材料。</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（12）米、面、食用油类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大米必须满足GB/T 1354-2018 大米标准规定；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食用植物油类必须满足（GB2716-1988）标准规定；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大豆油必须满足（GB/T 1535-2017）标准规定；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面粉必须满足GB13122-1991标准规定；</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大米、食用油、面粉必须确保质优、无污染、无变质、无异味。</w:t>
      </w:r>
      <w:r/>
    </w:p>
    <w:p>
      <w:pPr>
        <w:ind w:firstLine="480"/>
        <w:spacing w:line="440" w:lineRule="exact"/>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13</w:t>
      </w:r>
      <w:r>
        <w:rPr>
          <w:rFonts w:hint="eastAsia" w:ascii="宋体" w:hAnsi="宋体"/>
          <w:color w:val="000000"/>
          <w:sz w:val="24"/>
          <w:szCs w:val="24"/>
          <w:lang w:eastAsia="zh-CN"/>
        </w:rPr>
        <w:t xml:space="preserve">）</w:t>
      </w:r>
      <w:r>
        <w:rPr>
          <w:rFonts w:hint="eastAsia" w:ascii="宋体" w:hAnsi="宋体"/>
          <w:color w:val="000000"/>
          <w:sz w:val="24"/>
          <w:szCs w:val="24"/>
        </w:rPr>
        <w:t xml:space="preserve">点心及其他类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必须是无酸变、无腐烂、质优、无污染、无变质、保持应有的色泽，硫等物质含量不得超过国家有关规定，符合食品安全要求的产品，产品具QS认证或食品生产许可。每批次货物提供必要的质量证明材料。</w:t>
      </w:r>
      <w:r/>
    </w:p>
    <w:p>
      <w:pPr>
        <w:spacing w:line="440" w:lineRule="exact"/>
        <w:rPr>
          <w:rFonts w:hint="eastAsia" w:ascii="宋体" w:hAnsi="宋体"/>
          <w:b/>
          <w:bCs/>
          <w:sz w:val="24"/>
          <w:szCs w:val="24"/>
        </w:rPr>
      </w:pPr>
      <w:r>
        <w:rPr>
          <w:rFonts w:hint="eastAsia" w:ascii="宋体" w:hAnsi="宋体"/>
          <w:b/>
          <w:bCs/>
          <w:color w:val="000000"/>
          <w:sz w:val="24"/>
          <w:szCs w:val="24"/>
        </w:rPr>
        <w:t xml:space="preserve">    四、</w:t>
      </w:r>
      <w:r>
        <w:rPr>
          <w:rFonts w:hint="eastAsia" w:ascii="宋体" w:hAnsi="宋体"/>
          <w:b/>
          <w:bCs/>
          <w:sz w:val="24"/>
          <w:szCs w:val="24"/>
        </w:rPr>
        <w:t xml:space="preserve">人员配备要求</w:t>
      </w:r>
      <w:r/>
    </w:p>
    <w:p>
      <w:pPr>
        <w:ind w:firstLine="480"/>
        <w:spacing w:line="440" w:lineRule="exact"/>
        <w:rPr>
          <w:rFonts w:hint="eastAsia" w:ascii="宋体" w:hAnsi="宋体"/>
          <w:sz w:val="24"/>
          <w:szCs w:val="24"/>
        </w:rPr>
      </w:pPr>
      <w:r>
        <w:rPr>
          <w:rFonts w:hint="eastAsia" w:ascii="宋体" w:hAnsi="宋体"/>
          <w:sz w:val="24"/>
          <w:szCs w:val="24"/>
        </w:rPr>
        <w:t xml:space="preserve">1、必须配备工作人员至少两名，须身体健康、无遗传及传染疾病、五官端正，无普通话障碍，无色盲，无纹身，无皮肤病等严重疾病，退伍军人优先考虑，并提供人员健康证。</w:t>
      </w:r>
      <w:r/>
    </w:p>
    <w:p>
      <w:pPr>
        <w:ind w:firstLine="480"/>
        <w:spacing w:line="440" w:lineRule="exact"/>
        <w:rPr>
          <w:rFonts w:hint="eastAsia" w:ascii="宋体" w:hAnsi="宋体"/>
          <w:sz w:val="24"/>
          <w:szCs w:val="24"/>
        </w:rPr>
      </w:pPr>
      <w:r>
        <w:rPr>
          <w:rFonts w:hint="eastAsia" w:ascii="宋体" w:hAnsi="宋体"/>
          <w:sz w:val="24"/>
          <w:szCs w:val="24"/>
        </w:rPr>
        <w:t xml:space="preserve">2、供应商工作人员服务态度差，采购人可要求供应商责成工作人员及时改进服务态度，或调整更换工作人员。</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lang w:val="en-US" w:eastAsia="zh-CN"/>
        </w:rPr>
        <w:t xml:space="preserve">五</w:t>
      </w:r>
      <w:r>
        <w:rPr>
          <w:rFonts w:hint="eastAsia" w:ascii="宋体" w:hAnsi="宋体"/>
          <w:b/>
          <w:bCs/>
          <w:sz w:val="24"/>
          <w:szCs w:val="24"/>
        </w:rPr>
        <w:t xml:space="preserve">、特殊要求</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1、成交供应商具有下列情形之一的立</w:t>
      </w:r>
      <w:r>
        <w:rPr>
          <w:rFonts w:hint="eastAsia" w:ascii="宋体" w:hAnsi="宋体"/>
          <w:b/>
          <w:sz w:val="24"/>
          <w:szCs w:val="24"/>
        </w:rPr>
        <w:t xml:space="preserve">即中止合</w:t>
      </w:r>
      <w:r>
        <w:rPr>
          <w:rFonts w:hint="eastAsia" w:ascii="宋体" w:hAnsi="宋体"/>
          <w:b/>
          <w:color w:val="000000" w:themeColor="text1"/>
          <w:sz w:val="24"/>
          <w:szCs w:val="24"/>
          <w14:textFill>
            <w14:solidFill>
              <w14:schemeClr w14:val="tx1"/>
            </w14:solidFill>
          </w14:textFill>
        </w:rPr>
        <w:t xml:space="preserve">同，并承担由此造成的经济责任和法律责任：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（1）因配送的食品质量问题引发食品安全事故的；</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（2）配送的食品有假冒伪劣产品两次以上（含两次）的；</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（3）因存在不廉洁行为和安全隐患等造成不良社会影响的；</w:t>
      </w:r>
      <w:r/>
    </w:p>
    <w:p>
      <w:pPr>
        <w:ind w:firstLine="480"/>
        <w:spacing w:line="440" w:lineRule="exact"/>
        <w:rPr>
          <w:rFonts w:hint="eastAsia" w:ascii="宋体" w:hAnsi="宋体"/>
          <w:sz w:val="24"/>
          <w:szCs w:val="24"/>
        </w:rPr>
      </w:pPr>
      <w:r>
        <w:rPr>
          <w:rFonts w:hint="eastAsia" w:ascii="宋体" w:hAnsi="宋体"/>
          <w:sz w:val="24"/>
          <w:szCs w:val="24"/>
        </w:rPr>
        <w:t xml:space="preserve">（4）配送价格高于</w:t>
      </w:r>
      <w:r>
        <w:rPr>
          <w:rFonts w:hint="eastAsia" w:ascii="宋体" w:hAnsi="宋体"/>
          <w:sz w:val="24"/>
          <w:szCs w:val="24"/>
          <w:lang w:eastAsia="zh-CN"/>
        </w:rPr>
        <w:t xml:space="preserve">扬州市</w:t>
      </w:r>
      <w:r>
        <w:rPr>
          <w:rFonts w:hint="eastAsia" w:ascii="宋体" w:hAnsi="宋体"/>
          <w:sz w:val="24"/>
          <w:szCs w:val="24"/>
        </w:rPr>
        <w:t xml:space="preserve">发改委《民生价费专栏》公布价格3次（含3次）以上的；</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（5）有提供虚假发票、票据和代开发票、票据的；</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ascii="宋体" w:hAnsi="宋体"/>
          <w:color w:val="000000"/>
          <w:sz w:val="24"/>
          <w:szCs w:val="24"/>
        </w:rPr>
        <w:t xml:space="preserve">有任何形式的转包行为的（除征得采购人同意之外）。</w:t>
      </w:r>
      <w:r/>
    </w:p>
    <w:p>
      <w:pPr>
        <w:ind w:firstLine="482"/>
        <w:spacing w:line="440" w:lineRule="exact"/>
        <w:rPr>
          <w:rFonts w:hint="eastAsia" w:ascii="宋体" w:hAnsi="宋体"/>
          <w:sz w:val="24"/>
          <w:szCs w:val="24"/>
        </w:rPr>
      </w:pPr>
      <w:r>
        <w:rPr>
          <w:rFonts w:hint="eastAsia" w:ascii="宋体" w:hAnsi="宋体"/>
          <w:b/>
          <w:bCs/>
          <w:sz w:val="24"/>
          <w:szCs w:val="24"/>
        </w:rPr>
        <w:t xml:space="preserve">2、成交</w:t>
      </w:r>
      <w:r>
        <w:rPr>
          <w:rFonts w:hint="eastAsia" w:ascii="宋体" w:hAnsi="宋体"/>
          <w:b/>
          <w:sz w:val="24"/>
          <w:szCs w:val="24"/>
        </w:rPr>
        <w:t xml:space="preserve">供应商</w:t>
      </w:r>
      <w:r>
        <w:rPr>
          <w:rFonts w:ascii="宋体" w:hAnsi="宋体"/>
          <w:b/>
          <w:sz w:val="24"/>
          <w:szCs w:val="24"/>
        </w:rPr>
        <w:t xml:space="preserve">具</w:t>
      </w:r>
      <w:r>
        <w:rPr>
          <w:rFonts w:hint="eastAsia" w:ascii="宋体" w:hAnsi="宋体"/>
          <w:b/>
          <w:sz w:val="24"/>
          <w:szCs w:val="24"/>
        </w:rPr>
        <w:t xml:space="preserve">有下列情形之一的，除全部退货外，将取消供货单位的供货资格，并承担由此造成的经济责任和法律责任：</w:t>
      </w:r>
      <w:r/>
    </w:p>
    <w:p>
      <w:pPr>
        <w:ind w:firstLine="480"/>
        <w:spacing w:line="440" w:lineRule="exact"/>
        <w:rPr>
          <w:rFonts w:hint="eastAsia" w:ascii="宋体" w:hAnsi="宋体"/>
          <w:sz w:val="24"/>
          <w:szCs w:val="24"/>
        </w:rPr>
      </w:pPr>
      <w:r>
        <w:rPr>
          <w:rFonts w:hint="eastAsia" w:ascii="宋体" w:hAnsi="宋体"/>
          <w:sz w:val="24"/>
          <w:szCs w:val="24"/>
        </w:rPr>
        <w:t xml:space="preserve">（1）腐败变质、油脂酸败、霉变生虫、污秽不洁、混有异物、掺假掺杂或者感官性状异常的食品、食品添加剂。 </w:t>
      </w:r>
      <w:r/>
    </w:p>
    <w:p>
      <w:pPr>
        <w:ind w:firstLine="480"/>
        <w:spacing w:line="440" w:lineRule="exact"/>
        <w:rPr>
          <w:rFonts w:hint="eastAsia" w:ascii="宋体" w:hAnsi="宋体"/>
          <w:sz w:val="24"/>
          <w:szCs w:val="24"/>
        </w:rPr>
      </w:pPr>
      <w:r>
        <w:rPr>
          <w:rFonts w:hint="eastAsia" w:ascii="宋体" w:hAnsi="宋体"/>
          <w:sz w:val="24"/>
          <w:szCs w:val="24"/>
        </w:rPr>
        <w:t xml:space="preserve">（2）含有毒、有害物质或者被有害物质污染，对人体健康有害的。 </w:t>
      </w:r>
      <w:r/>
    </w:p>
    <w:p>
      <w:pPr>
        <w:ind w:firstLine="480"/>
        <w:spacing w:line="440" w:lineRule="exact"/>
        <w:rPr>
          <w:rFonts w:hint="eastAsia" w:ascii="宋体" w:hAnsi="宋体"/>
          <w:sz w:val="24"/>
          <w:szCs w:val="24"/>
        </w:rPr>
      </w:pPr>
      <w:r>
        <w:rPr>
          <w:rFonts w:hint="eastAsia" w:ascii="宋体" w:hAnsi="宋体"/>
          <w:sz w:val="24"/>
          <w:szCs w:val="24"/>
        </w:rPr>
        <w:t xml:space="preserve">（3）含有致病性微生物，农药残留、兽药残留、生物毒素、重金属等污染物质以及其他危害人体健康的物质含量超过食品安全标准限量的食品。</w:t>
      </w:r>
      <w:r/>
    </w:p>
    <w:p>
      <w:pPr>
        <w:ind w:firstLine="480"/>
        <w:spacing w:line="440" w:lineRule="exact"/>
        <w:rPr>
          <w:rFonts w:hint="eastAsia" w:ascii="宋体" w:hAnsi="宋体"/>
          <w:sz w:val="24"/>
          <w:szCs w:val="24"/>
        </w:rPr>
      </w:pPr>
      <w:r>
        <w:rPr>
          <w:rFonts w:hint="eastAsia" w:ascii="宋体" w:hAnsi="宋体"/>
          <w:sz w:val="24"/>
          <w:szCs w:val="24"/>
        </w:rPr>
        <w:t xml:space="preserve">（4）未经动物检疫部门检疫、检验或者检疫、检验不合格的肉类及其制品。 </w:t>
      </w:r>
      <w:r/>
    </w:p>
    <w:p>
      <w:pPr>
        <w:ind w:firstLine="480"/>
        <w:spacing w:line="440" w:lineRule="exact"/>
        <w:rPr>
          <w:rFonts w:hint="eastAsia" w:ascii="宋体" w:hAnsi="宋体"/>
          <w:sz w:val="24"/>
          <w:szCs w:val="24"/>
        </w:rPr>
      </w:pPr>
      <w:r>
        <w:rPr>
          <w:rFonts w:hint="eastAsia" w:ascii="宋体" w:hAnsi="宋体"/>
          <w:sz w:val="24"/>
          <w:szCs w:val="24"/>
        </w:rPr>
        <w:t xml:space="preserve">（5）病死、毒死或者死因不明的禽、畜、水产动物等及其制品。 </w:t>
      </w:r>
      <w:r/>
    </w:p>
    <w:p>
      <w:pPr>
        <w:ind w:firstLine="480"/>
        <w:spacing w:line="440" w:lineRule="exact"/>
        <w:rPr>
          <w:rFonts w:hint="eastAsia" w:ascii="宋体" w:hAnsi="宋体"/>
          <w:sz w:val="24"/>
          <w:szCs w:val="24"/>
        </w:rPr>
      </w:pPr>
      <w:r>
        <w:rPr>
          <w:rFonts w:hint="eastAsia" w:ascii="宋体" w:hAnsi="宋体"/>
          <w:sz w:val="24"/>
          <w:szCs w:val="24"/>
        </w:rPr>
        <w:t xml:space="preserve">（6）掺假、掺杂、伪造，影响营养、卫生的。 </w:t>
      </w:r>
      <w:r/>
    </w:p>
    <w:p>
      <w:pPr>
        <w:ind w:firstLine="480"/>
        <w:spacing w:line="440" w:lineRule="exact"/>
        <w:rPr>
          <w:rFonts w:hint="eastAsia" w:ascii="宋体" w:hAnsi="宋体"/>
          <w:sz w:val="24"/>
          <w:szCs w:val="24"/>
        </w:rPr>
      </w:pPr>
      <w:r>
        <w:rPr>
          <w:rFonts w:hint="eastAsia" w:ascii="宋体" w:hAnsi="宋体"/>
          <w:sz w:val="24"/>
          <w:szCs w:val="24"/>
        </w:rPr>
        <w:t xml:space="preserve">（7）用非食品原料加工的，加入非食品用化学物质或者将非食品当作食品的。</w:t>
      </w:r>
      <w:r/>
    </w:p>
    <w:p>
      <w:pPr>
        <w:ind w:firstLine="480"/>
        <w:spacing w:line="440" w:lineRule="exact"/>
        <w:rPr>
          <w:rFonts w:hint="eastAsia" w:ascii="宋体" w:hAnsi="宋体"/>
          <w:sz w:val="24"/>
          <w:szCs w:val="24"/>
        </w:rPr>
      </w:pPr>
      <w:r>
        <w:rPr>
          <w:rFonts w:hint="eastAsia" w:ascii="宋体" w:hAnsi="宋体"/>
          <w:sz w:val="24"/>
          <w:szCs w:val="24"/>
        </w:rPr>
        <w:t xml:space="preserve">（8）标识标签不符合食品安全要求，标注假生产日期或超过保质期限的。</w:t>
      </w:r>
      <w:r/>
    </w:p>
    <w:p>
      <w:pPr>
        <w:ind w:firstLine="482"/>
        <w:spacing w:line="440" w:lineRule="exact"/>
        <w:rPr>
          <w:rFonts w:hint="eastAsia" w:ascii="宋体" w:hAnsi="宋体"/>
          <w:b/>
          <w:sz w:val="24"/>
          <w:szCs w:val="24"/>
        </w:rPr>
      </w:pPr>
      <w:r>
        <w:rPr>
          <w:rFonts w:hint="eastAsia" w:ascii="宋体" w:hAnsi="宋体"/>
          <w:b/>
          <w:bCs/>
          <w:sz w:val="24"/>
          <w:szCs w:val="24"/>
        </w:rPr>
        <w:t xml:space="preserve">3、成交</w:t>
      </w:r>
      <w:r>
        <w:rPr>
          <w:rFonts w:hint="eastAsia" w:ascii="宋体" w:hAnsi="宋体"/>
          <w:b/>
          <w:sz w:val="24"/>
          <w:szCs w:val="24"/>
        </w:rPr>
        <w:t xml:space="preserve">供应商</w:t>
      </w:r>
      <w:r>
        <w:rPr>
          <w:rFonts w:ascii="宋体" w:hAnsi="宋体"/>
          <w:b/>
          <w:sz w:val="24"/>
          <w:szCs w:val="24"/>
        </w:rPr>
        <w:t xml:space="preserve">具</w:t>
      </w:r>
      <w:r>
        <w:rPr>
          <w:rFonts w:hint="eastAsia" w:ascii="宋体" w:hAnsi="宋体"/>
          <w:b/>
          <w:sz w:val="24"/>
          <w:szCs w:val="24"/>
        </w:rPr>
        <w:t xml:space="preserve">有下列情形之一的，将取消其单项配送资格，且采购人有权自行选择其他供应商进行配送服务。</w:t>
      </w:r>
      <w:r/>
    </w:p>
    <w:p>
      <w:pPr>
        <w:ind w:firstLine="480"/>
        <w:spacing w:line="440" w:lineRule="exact"/>
        <w:rPr>
          <w:rFonts w:hint="eastAsia" w:ascii="宋体" w:hAnsi="宋体"/>
          <w:sz w:val="24"/>
          <w:szCs w:val="24"/>
        </w:rPr>
      </w:pPr>
      <w:r>
        <w:rPr>
          <w:rFonts w:hint="eastAsia" w:ascii="宋体" w:hAnsi="宋体"/>
          <w:sz w:val="24"/>
          <w:szCs w:val="24"/>
        </w:rPr>
        <w:t xml:space="preserve">（1）所有配送车辆须于每日上午7:00前配送到位，未按时到达的，每超时10分钟（不足10分钟按10分钟计），将取消其单项配送资格，且采购人有权自行选择其他供应商进行配送服务。超时2小时（含）以上，采购人可采取应急购买，成交供应商支付货款（价格以采购人实际采购价格为准）。成交供应商累计违反五次（含）则取消成交供应商的配送资格，双方合同终止。</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）成交供应商提供的配送食材缺斤少两的（鲜活类超过3% ，冰冻类超过2%，叶菜类超过3%，米面油类超过1%），将取消其单项配送资格，采购人自行选择其他供应商进行配送服务。成交供应商若违反三次则取消成交供应商的配送资格，双方合同终止。</w:t>
      </w:r>
      <w:r/>
    </w:p>
    <w:p>
      <w:pPr>
        <w:ind w:firstLine="480"/>
        <w:spacing w:line="440" w:lineRule="exact"/>
        <w:rPr>
          <w:rFonts w:hint="eastAsia" w:ascii="宋体" w:hAnsi="宋体"/>
          <w:sz w:val="24"/>
          <w:szCs w:val="24"/>
        </w:rPr>
      </w:pPr>
      <w:r>
        <w:rPr>
          <w:rFonts w:hint="eastAsia" w:ascii="宋体" w:hAnsi="宋体"/>
          <w:sz w:val="24"/>
          <w:szCs w:val="24"/>
        </w:rPr>
        <w:t xml:space="preserve">（3）如验收时发现因成交供应商工作失误造成少送、漏送的，不视为缺斤少两，但成交供应商必须在4小时内补齐，4小时内不能补齐的，将取消其单项配送资格，且采购人有权自行选择其他供应商进行配送服务。成交供应商若一个月内违反三次则取消成交供应商的配送资格，双方合同终止。</w:t>
      </w:r>
      <w:r/>
    </w:p>
    <w:p>
      <w:pPr>
        <w:ind w:firstLine="480"/>
        <w:spacing w:line="440" w:lineRule="exact"/>
        <w:rPr>
          <w:rFonts w:hint="eastAsia" w:ascii="宋体" w:hAnsi="宋体"/>
          <w:sz w:val="24"/>
          <w:szCs w:val="24"/>
        </w:rPr>
      </w:pPr>
      <w:r>
        <w:rPr>
          <w:rFonts w:hint="eastAsia" w:ascii="宋体" w:hAnsi="宋体"/>
          <w:sz w:val="24"/>
          <w:szCs w:val="24"/>
        </w:rPr>
        <w:t xml:space="preserve">（4）成交供应商提供的单项配送食材采购人验收</w:t>
      </w:r>
      <w:r>
        <w:rPr>
          <w:rFonts w:ascii="宋体" w:hAnsi="宋体"/>
          <w:sz w:val="24"/>
          <w:szCs w:val="24"/>
        </w:rPr>
        <w:t xml:space="preserve">不通过的，</w:t>
      </w:r>
      <w:r>
        <w:rPr>
          <w:rFonts w:hint="eastAsia" w:ascii="宋体" w:hAnsi="宋体"/>
          <w:sz w:val="24"/>
          <w:szCs w:val="24"/>
        </w:rPr>
        <w:t xml:space="preserve">将取消其单项配送资格，采购人自行选择其他供应商进行配送服务。</w:t>
      </w:r>
      <w:r/>
    </w:p>
    <w:p>
      <w:pPr>
        <w:ind w:firstLine="480"/>
        <w:spacing w:line="440" w:lineRule="exact"/>
        <w:rPr>
          <w:rFonts w:hint="eastAsia" w:ascii="宋体" w:hAnsi="宋体"/>
          <w:bCs/>
          <w:sz w:val="24"/>
          <w:szCs w:val="24"/>
        </w:rPr>
      </w:pPr>
      <w:r>
        <w:rPr>
          <w:rFonts w:hint="eastAsia" w:ascii="宋体" w:hAnsi="宋体"/>
          <w:bCs/>
          <w:sz w:val="24"/>
          <w:szCs w:val="24"/>
        </w:rPr>
        <w:t xml:space="preserve">4、成交供应商根据采购人的需求，应向采购人提供全方位的、有效的、及时的特殊配送服务。</w:t>
      </w:r>
      <w:r/>
    </w:p>
    <w:p>
      <w:pPr>
        <w:ind w:firstLine="480"/>
        <w:spacing w:line="440" w:lineRule="exact"/>
        <w:rPr>
          <w:rFonts w:hint="eastAsia" w:ascii="宋体" w:hAnsi="宋体"/>
          <w:bCs/>
          <w:sz w:val="24"/>
          <w:szCs w:val="24"/>
        </w:rPr>
      </w:pPr>
      <w:r>
        <w:rPr>
          <w:rFonts w:hint="eastAsia" w:ascii="宋体" w:hAnsi="宋体"/>
          <w:color w:val="000000"/>
          <w:sz w:val="24"/>
          <w:szCs w:val="24"/>
        </w:rPr>
        <w:t xml:space="preserve">5、成交供应商必须建立完整的配送档案，留存完整的配送信息，所有</w:t>
      </w:r>
      <w:r>
        <w:rPr>
          <w:rFonts w:hint="eastAsia" w:ascii="宋体" w:hAnsi="宋体"/>
          <w:bCs/>
          <w:color w:val="000000"/>
          <w:sz w:val="24"/>
          <w:szCs w:val="24"/>
        </w:rPr>
        <w:t xml:space="preserve">货源可追溯性的信息，</w:t>
      </w:r>
      <w:r>
        <w:rPr>
          <w:rFonts w:hint="eastAsia" w:ascii="宋体" w:hAnsi="宋体"/>
          <w:color w:val="000000"/>
          <w:sz w:val="24"/>
          <w:szCs w:val="24"/>
        </w:rPr>
        <w:t xml:space="preserve">有清晰的配送资料或图片，配送数据的汇总、传输，接受监督审查。</w:t>
      </w:r>
      <w:r/>
    </w:p>
    <w:p>
      <w:pPr>
        <w:ind w:firstLine="480"/>
        <w:spacing w:line="440" w:lineRule="exact"/>
        <w:rPr>
          <w:rFonts w:hint="eastAsia" w:ascii="宋体" w:hAnsi="宋体"/>
          <w:bCs/>
          <w:sz w:val="24"/>
          <w:szCs w:val="24"/>
        </w:rPr>
      </w:pPr>
      <w:r>
        <w:rPr>
          <w:rFonts w:hint="eastAsia" w:ascii="宋体" w:hAnsi="宋体"/>
          <w:bCs/>
          <w:sz w:val="24"/>
          <w:szCs w:val="24"/>
        </w:rPr>
        <w:t xml:space="preserve">6、成交供应商严禁提供以下食品：①无品名、产地、厂名、生产日期、保质期及中文标识及原料说明的预包装食品（除蔬菜等散装食品）；②超过保质期限或不符合食品标签规定的预包装食品；③腐败变质、油脂酸败、霉变、生虫、污秽不洁、混有异物或者其他感官性状异常，含有毒、有害物质或者被有毒、有害物质污染，可能对人体健康有害的食品；④病死、死因不明或从疫区采购的水产品、畜、禽及其制品，不合格调味品，工业用盐，非食品原料和滥用食品添加剂，农药残留超标的水果、蔬菜等；⑤其他不符合食品卫生标准和要求的食品。</w:t>
      </w:r>
      <w:r/>
    </w:p>
    <w:p>
      <w:pPr>
        <w:ind w:firstLine="480"/>
        <w:spacing w:line="440" w:lineRule="exact"/>
        <w:rPr>
          <w:rFonts w:hint="eastAsia" w:ascii="宋体" w:hAnsi="宋体"/>
          <w:bCs/>
          <w:sz w:val="24"/>
          <w:szCs w:val="24"/>
        </w:rPr>
      </w:pPr>
      <w:r>
        <w:rPr>
          <w:rFonts w:hint="eastAsia" w:ascii="宋体" w:hAnsi="宋体"/>
          <w:bCs/>
          <w:sz w:val="24"/>
          <w:szCs w:val="24"/>
        </w:rPr>
        <w:t xml:space="preserve">7、如因成交供应商所供应食品的质量问题引起员工食物中毒等食源性疾病的发生或其他事故，由</w:t>
      </w:r>
      <w:r>
        <w:rPr>
          <w:rFonts w:hint="eastAsia" w:ascii="宋体" w:hAnsi="宋体"/>
          <w:sz w:val="24"/>
          <w:szCs w:val="24"/>
        </w:rPr>
        <w:t xml:space="preserve">成交供应商</w:t>
      </w:r>
      <w:r>
        <w:rPr>
          <w:rFonts w:hint="eastAsia" w:ascii="宋体" w:hAnsi="宋体"/>
          <w:bCs/>
          <w:sz w:val="24"/>
          <w:szCs w:val="24"/>
        </w:rPr>
        <w:t xml:space="preserve">负全部责任，并承担由此而引起的全部经济损失及相关法律责任。情节较为严重的，</w:t>
      </w:r>
      <w:r>
        <w:rPr>
          <w:rFonts w:hint="eastAsia" w:ascii="宋体" w:hAnsi="宋体"/>
          <w:bCs/>
          <w:sz w:val="24"/>
          <w:szCs w:val="24"/>
          <w:lang w:val="en-US" w:eastAsia="zh-CN"/>
        </w:rPr>
        <w:t xml:space="preserve">高邮</w:t>
      </w:r>
      <w:r>
        <w:rPr>
          <w:rFonts w:hint="eastAsia" w:ascii="宋体" w:hAnsi="宋体"/>
          <w:bCs/>
          <w:sz w:val="24"/>
          <w:szCs w:val="24"/>
        </w:rPr>
        <w:t xml:space="preserve">市公安局交通警察大队有权立即终止供货协议，并按相关法律处理。</w:t>
      </w:r>
      <w:r/>
    </w:p>
    <w:p>
      <w:pPr>
        <w:ind w:firstLine="480"/>
        <w:spacing w:line="440" w:lineRule="exact"/>
        <w:rPr>
          <w:rFonts w:hint="eastAsia" w:ascii="宋体" w:hAnsi="宋体"/>
          <w:sz w:val="24"/>
          <w:szCs w:val="24"/>
        </w:rPr>
      </w:pPr>
      <w:r>
        <w:rPr>
          <w:rFonts w:hint="eastAsia" w:ascii="宋体" w:hAnsi="宋体"/>
          <w:bCs/>
          <w:sz w:val="24"/>
          <w:szCs w:val="24"/>
        </w:rPr>
        <w:t xml:space="preserve">8、</w:t>
      </w:r>
      <w:r>
        <w:rPr>
          <w:rFonts w:hint="eastAsia" w:ascii="宋体" w:hAnsi="宋体"/>
          <w:sz w:val="24"/>
          <w:szCs w:val="24"/>
        </w:rPr>
        <w:t xml:space="preserve">成交供应商接到采购临时配送需求后，必须在30分钟内响应，1.5小时内配送完成； 如未能完成的，则按所违反次数进行扣分处理。</w:t>
      </w:r>
      <w:r/>
    </w:p>
    <w:p>
      <w:pPr>
        <w:ind w:firstLine="480"/>
        <w:spacing w:line="440" w:lineRule="exact"/>
        <w:rPr>
          <w:rFonts w:hint="eastAsia" w:ascii="宋体" w:hAnsi="宋体"/>
          <w:sz w:val="24"/>
          <w:szCs w:val="24"/>
        </w:rPr>
      </w:pPr>
      <w:r>
        <w:rPr>
          <w:rFonts w:hint="eastAsia" w:ascii="宋体" w:hAnsi="宋体"/>
          <w:sz w:val="24"/>
          <w:szCs w:val="24"/>
        </w:rPr>
        <w:t xml:space="preserve">9、因成交供应商所提供因食品发现质量问题的，采购人要求成交供应商及时更换或退货，而成交供应商不及时更换或退货的，或以其他理由予以拒绝的，将取消其单项配送资格，采购人自行选择其他供应商进行配送服务。</w:t>
      </w:r>
      <w:r/>
    </w:p>
    <w:p>
      <w:pPr>
        <w:jc w:val="left"/>
        <w:widowControl/>
        <w:rPr>
          <w:rFonts w:hint="eastAsia" w:ascii="宋体" w:hAnsi="宋体"/>
          <w:b/>
          <w:bCs/>
          <w:sz w:val="24"/>
          <w:szCs w:val="24"/>
        </w:rPr>
      </w:pPr>
      <w:r>
        <w:rPr>
          <w:rFonts w:hint="eastAsia" w:ascii="宋体" w:hAnsi="宋体"/>
          <w:b/>
          <w:bCs/>
          <w:sz w:val="24"/>
          <w:szCs w:val="24"/>
          <w:lang w:val="en-US" w:eastAsia="zh-CN"/>
        </w:rPr>
        <w:t xml:space="preserve">六</w:t>
      </w:r>
      <w:r>
        <w:rPr>
          <w:rFonts w:hint="eastAsia" w:ascii="宋体" w:hAnsi="宋体"/>
          <w:b/>
          <w:bCs/>
          <w:sz w:val="24"/>
          <w:szCs w:val="24"/>
        </w:rPr>
        <w:t xml:space="preserve">、特殊情况下的食材采购</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适用情形：在合同履行期间，如遇以下特殊情况，经甲方事先通知，可由甲方自行采购部分食材：</w:t>
      </w:r>
      <w:r/>
    </w:p>
    <w:p>
      <w:pPr>
        <w:ind w:firstLine="480"/>
        <w:spacing w:line="440" w:lineRule="exact"/>
        <w:rPr>
          <w:rFonts w:hint="eastAsia" w:ascii="宋体" w:hAnsi="宋体"/>
          <w:sz w:val="24"/>
          <w:szCs w:val="24"/>
        </w:rPr>
      </w:pPr>
      <w:r>
        <w:rPr>
          <w:rFonts w:hint="eastAsia" w:ascii="宋体" w:hAnsi="宋体"/>
          <w:sz w:val="24"/>
          <w:szCs w:val="24"/>
        </w:rPr>
        <w:t xml:space="preserve">（1）乙方无法供应或无法按时供应的食材品种；</w:t>
      </w:r>
      <w:r/>
    </w:p>
    <w:p>
      <w:pPr>
        <w:ind w:firstLine="480"/>
        <w:spacing w:line="440" w:lineRule="exact"/>
        <w:rPr>
          <w:rFonts w:hint="eastAsia" w:ascii="宋体" w:hAnsi="宋体"/>
          <w:sz w:val="24"/>
          <w:szCs w:val="24"/>
        </w:rPr>
      </w:pPr>
      <w:r>
        <w:rPr>
          <w:rFonts w:hint="eastAsia" w:ascii="宋体" w:hAnsi="宋体"/>
          <w:sz w:val="24"/>
          <w:szCs w:val="24"/>
        </w:rPr>
        <w:t xml:space="preserve">（2）乙方供应的食材经甲方验收不合格，且无法在规定时间内更换的；</w:t>
      </w:r>
      <w:r/>
    </w:p>
    <w:p>
      <w:pPr>
        <w:ind w:firstLine="480"/>
        <w:spacing w:line="440" w:lineRule="exact"/>
        <w:rPr>
          <w:rFonts w:hint="eastAsia" w:ascii="宋体" w:hAnsi="宋体"/>
          <w:sz w:val="24"/>
          <w:szCs w:val="24"/>
        </w:rPr>
      </w:pPr>
      <w:r>
        <w:rPr>
          <w:rFonts w:hint="eastAsia" w:ascii="宋体" w:hAnsi="宋体"/>
          <w:sz w:val="24"/>
          <w:szCs w:val="24"/>
        </w:rPr>
        <w:t xml:space="preserve">（3）因临时性、紧急性的公务活动或接待任务，所需食材不在乙方常规供应目录内的；</w:t>
      </w:r>
      <w:r/>
    </w:p>
    <w:p>
      <w:pPr>
        <w:ind w:firstLine="480"/>
        <w:spacing w:line="440" w:lineRule="exact"/>
        <w:rPr>
          <w:rFonts w:hint="eastAsia" w:ascii="宋体" w:hAnsi="宋体"/>
          <w:sz w:val="24"/>
          <w:szCs w:val="24"/>
        </w:rPr>
      </w:pPr>
      <w:r>
        <w:rPr>
          <w:rFonts w:hint="eastAsia" w:ascii="宋体" w:hAnsi="宋体"/>
          <w:sz w:val="24"/>
          <w:szCs w:val="24"/>
        </w:rPr>
        <w:t xml:space="preserve">（4）其他经甲乙双方确认的特殊情形。</w:t>
      </w:r>
      <w:r/>
    </w:p>
    <w:p>
      <w:pPr>
        <w:ind w:firstLine="480"/>
        <w:spacing w:line="440" w:lineRule="exact"/>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操作流程：发生上述情形时，甲方应</w:t>
      </w:r>
      <w:r>
        <w:rPr>
          <w:rFonts w:hint="eastAsia" w:ascii="宋体" w:hAnsi="宋体"/>
          <w:sz w:val="24"/>
          <w:szCs w:val="24"/>
          <w:lang w:val="en-US" w:eastAsia="zh-CN"/>
        </w:rPr>
        <w:t xml:space="preserve">事先</w:t>
      </w:r>
      <w:r>
        <w:rPr>
          <w:rFonts w:hint="eastAsia" w:ascii="宋体" w:hAnsi="宋体"/>
          <w:sz w:val="24"/>
          <w:szCs w:val="24"/>
        </w:rPr>
        <w:t xml:space="preserve">通知乙方。甲方完成自行采购后，应向乙方提供有效的采购凭证（如发票、小票、清单等）复印件。</w:t>
      </w:r>
      <w:r/>
    </w:p>
    <w:p>
      <w:pPr>
        <w:jc w:val="left"/>
        <w:widowControl/>
        <w:rPr>
          <w:rFonts w:hint="eastAsia" w:ascii="宋体" w:hAnsi="宋体"/>
          <w:b/>
          <w:bCs/>
          <w:sz w:val="24"/>
          <w:szCs w:val="24"/>
        </w:rPr>
      </w:pPr>
      <w:r>
        <w:rPr>
          <w:rFonts w:hint="eastAsia" w:ascii="宋体" w:hAnsi="宋体"/>
          <w:b/>
          <w:bCs/>
          <w:sz w:val="24"/>
          <w:szCs w:val="24"/>
          <w:lang w:val="en-US" w:eastAsia="zh-CN"/>
        </w:rPr>
        <w:t xml:space="preserve">七、</w:t>
      </w:r>
      <w:r>
        <w:rPr>
          <w:rFonts w:hint="eastAsia" w:ascii="宋体" w:hAnsi="宋体"/>
          <w:b/>
          <w:bCs/>
          <w:sz w:val="24"/>
          <w:szCs w:val="24"/>
        </w:rPr>
        <w:t xml:space="preserve">考核办法</w:t>
      </w:r>
      <w:r/>
    </w:p>
    <w:p>
      <w:pPr>
        <w:ind w:firstLine="480"/>
        <w:spacing w:line="440" w:lineRule="exact"/>
        <w:rPr>
          <w:rFonts w:hint="eastAsia" w:ascii="宋体" w:hAnsi="宋体"/>
          <w:bCs/>
          <w:sz w:val="24"/>
          <w:szCs w:val="24"/>
        </w:rPr>
      </w:pPr>
      <w:r>
        <w:rPr>
          <w:rFonts w:hint="eastAsia" w:ascii="宋体" w:hAnsi="宋体"/>
          <w:bCs/>
          <w:sz w:val="24"/>
          <w:szCs w:val="24"/>
        </w:rPr>
        <w:t xml:space="preserve">采购人每月对成交供应商服务进行考核一次，根据考核分值结算服务费用，考核总分值为100分，考核总得分在90分及以上，服务费全额结算；考核总得分在85—89分的，扣除服务费的1%进行结算；考核总得分在80—84分的，扣除服务费的2%进行结算；考核总得分在75—79分的，扣除服务费的5%进行结算；第一次考核总得分在74分及以下的采购人发出整改通知，并扣除服务费的10%进行结算，第二次考核总得分在74分及以下的采购人有权取消其成交资格，且进行重新安排服务单位，并扣除服务费的20%进行结算。</w:t>
      </w:r>
      <w:r/>
    </w:p>
    <w:p>
      <w:pPr>
        <w:ind w:firstLine="480"/>
        <w:spacing w:line="440" w:lineRule="exact"/>
        <w:rPr>
          <w:rFonts w:hint="eastAsia" w:ascii="宋体" w:hAnsi="宋体"/>
          <w:bCs/>
          <w:sz w:val="24"/>
          <w:szCs w:val="24"/>
        </w:rPr>
      </w:pPr>
      <w:r>
        <w:rPr>
          <w:rFonts w:hint="eastAsia" w:ascii="宋体" w:hAnsi="宋体"/>
          <w:bCs/>
          <w:sz w:val="24"/>
          <w:szCs w:val="24"/>
        </w:rPr>
        <w:t xml:space="preserve">成交供应商每月5日前上报上月的累计食材配送详细清单，采购人根据供货清单、供应价格与供应商进行对账，对账一致后供应商还需扣除月度考核中的罚款，核对无误后，由供应商开具正规发票，采用公对公转帐方式,按月支付。</w:t>
      </w:r>
      <w:r/>
    </w:p>
    <w:p>
      <w:pPr>
        <w:ind w:firstLine="562"/>
        <w:jc w:val="center"/>
        <w:spacing w:line="440" w:lineRule="exact"/>
        <w:rPr>
          <w:rFonts w:hint="eastAsia" w:ascii="宋体" w:hAnsi="宋体"/>
          <w:b/>
          <w:sz w:val="28"/>
          <w:szCs w:val="28"/>
        </w:rPr>
      </w:pPr>
      <w:r>
        <w:rPr>
          <w:rFonts w:hint="eastAsia" w:ascii="宋体" w:hAnsi="宋体"/>
          <w:b/>
          <w:sz w:val="28"/>
          <w:szCs w:val="28"/>
        </w:rPr>
        <w:t xml:space="preserve">考核细则</w:t>
      </w:r>
      <w:r/>
    </w:p>
    <w:tbl>
      <w:tblPr>
        <w:tblStyle w:val="792"/>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350"/>
        <w:gridCol w:w="5120"/>
        <w:gridCol w:w="1200"/>
        <w:gridCol w:w="1781"/>
      </w:tblGrid>
      <w:tr>
        <w:trPr>
          <w:trHeight w:val="557"/>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tcW w:w="1350"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考核内容及要求</w:t>
            </w:r>
            <w:r/>
          </w:p>
        </w:tc>
        <w:tc>
          <w:tcPr>
            <w:tcW w:w="5120"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考核要求</w:t>
            </w:r>
            <w:r/>
          </w:p>
        </w:tc>
        <w:tc>
          <w:tcPr>
            <w:tcW w:w="1200"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考核办法</w:t>
            </w:r>
            <w:r/>
          </w:p>
        </w:tc>
        <w:tc>
          <w:tcPr>
            <w:tcW w:w="1781"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备注</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质量要求</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所有原辅食料原则上必须对照执行现行强制性国家标准（GB）,在可选择范围内优先选择执行GB标准号的同类产品，其中：</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（1）禽肉类、肉类、冻品类必须提供《动物检疫合格证》和《肉品品质检验合格证》，符合GB2707国标，色泽正常，无异味，无注水；</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（2）果蔬类必须提供农药残留检测报告，保证新鲜，不腐烂变质，且符合GB2763-2014国家标准要求（农产品必须是当天新鲜产品）；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（3）水（海）产类必须是质优、无污染、无变质。符合GB2733-2015、GB10316-2015国家标准；</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（4）豆制品类具有“QS”食品质量安全认证，并提供产品合格证明文件，符合GB2711-2003国标；</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（5）大米须提供检测报告，保证新鲜，不过期变质，色泽正常滋润、且符合《农产品质量安全法》要求；具有“QS”食品质量安全认证，并提供产品合格证明文件；</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（6）家禽类需提供《动物检疫合格证》和养殖基地有效证件，符合GB2707-2005国标，色泽正常，无异味；</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（7）酱腌菜类亚硝酸盐定期抽检合格，符合《食品安全法》要求；</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（8）蛋类保证新鲜，且符合GB2748国家标准要求，能提供养殖基地有效证件。</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（9）面类须提供检测报告，保证新鲜，不腐烂变质，且符合《农产品质量安全法》要求；</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调味及其他类：生产企业具有生产许可证（包括企业食品生产许可证、小作坊食品生产许可证和小作坊中心食品生产许可证），产品具有SC标识的生产许可证号，符合食品卫生要求和标准。产品无变质、无污染、质优。</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食品添加剂使用符合GB2760-2014国家标准，豆制品符合GB2711、GB2712国家标准。奶类，其中生乳符合 GB19301-2010，酸奶制品要符合GB19645或GB19302国家标准。</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配送标准</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1、蔬菜：</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做到去根、去菜帮、去粗垃圾，种植中不使用禁用农药，不违规使用农药，能保证源头质量和开展农残检测；</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必须是质优、新鲜、无污染、无变质，蔬菜农药残留在国家规定GB2763-2014允许的范围内，每批次应携带农药残留检测合格证明。</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2、禽蛋类： </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必须是不霉烂、无酸变、无腐烂、无变质、整齐、均匀、完整、质优、无污染，硫等物质含量不得超过国家有关规定，符合食品安全要求的产品。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质量要求为鲜蛋外壳有光泽；用光照,能透光,呈桔红色,气室小而透亮,蛋黄轮廓完整清晰,无斑点；用鼻闻,清新、无异味；将蛋轻轻摇动,听不到声音或感觉不到振动，鲜鸡蛋依据标准GB 2748-2003《鲜鸡蛋卫生标准》。每批次货物提供必要的质量证明材料。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3、豆制品: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生产企业具有生产许可证（包括企业食品生产许可证、小作坊食品生产许可证和小作坊中心食品生产许可证），符合BG/T22106-2008、GB2712-2014标准国家标准，能提供生产商的产品执行标准。</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必须是当天生产，无酸变、无腐烂、质优、无污染、无变质，符合食品安全要求的产品。每批次货物提供必要的质量证明材料。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4、干货类：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干货类产品必须是质优、无污染、无变质、保持应有的色泽，硫等物质含量不得超过国家有关规定，符合食品安全要求的产品，产品经食品质量安全QS或SC认证。每批次货物提供必要的质量证明材料。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5、调味品: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知名品牌产品，且质优、无污染、无变质、保持应有的色泽，硫等物质含量不得超过国家有关规定，包装无污染、无泄漏，无胀袋、胖听、鼓盖现象，无变质发霉现象。产品经食品质量安全QS或SC认证。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6、水、海产品类：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必须是鲜活、质优、无污染、无变质、无异味，符合食品安全要求的产品，每批次货物提供必要的质量证明材料。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7、鲜猪肉、禽肉等：</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必须是质优、无污染、无变质，符合食品安全要求的产品。符合鲜(冻)畜肉卫生标准GB2707-2005，并具有动物检验检疫合格证明。</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鸡鸭等禽类必须去内脏，提供检疫证明。鸡鸭等禽类脱毛应符合规定，并提供相应的合格证明材料。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为保障产品质量，供应商应提供当天屠宰的猪肉、禽肉类产品。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运输须使用符合国家卫生标准的运载工具，运输冷鲜（冻）肉应当使用具有保温措施的车辆，车辆必须要保持清洁、卫生，使用前后要清洗消毒。</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8、冷冻食品：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冷冻食品必须符合国家现行标准，并具有“QS或SC” 企业食品生产许可标识。生产厂家必须为冷冻品生产企业或大型的专业批发企业。</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9、腌腊制品类：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必须是无酸变、无腐烂、质优、无污染、无变质、保持应有的色泽，硫等物质含量不得超过国家有关规定，符合食品安全要求的产品，产品具QS认证或食品生产许可。每批次货物提供必要的质量证明材料。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10、牛(酸)奶饮料类：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质量应符合《中华人民共和国食品安全法》、《乳品质量安全监督管理条例</w:t>
            </w:r>
            <w:r>
              <w:rPr>
                <w:rFonts w:hint="eastAsia" w:ascii="宋体" w:hAnsi="宋体" w:eastAsia="宋体" w:cs="宋体"/>
                <w:color w:val="000000"/>
                <w:sz w:val="20"/>
                <w:szCs w:val="20"/>
              </w:rPr>
              <w:t xml:space="preserve">》、《食品添加剂卫生管理办法》和卫生部（卫通[2010]7号）文件《卫生部发布〈生乳〉(GB19301-2010)等66项食品安全国家标准》中有关饮用奶的相关规定要求。收购的生鲜乳和饮用奶成品中禁止含有革皮水解物（即皮革水解蛋白）。调味奶其中的食品添加剂的使用规范和标准必须符合国家有关饮用奶的相关标准目录和标准计量的规定，并且符合卫生部发布的《食品安全国家标准食品添加剂使用标准》（GB2760—2011）中有关饮用奶的相关标准要求。禁止在饮用奶中使用任何食品营养强化剂、稳定剂和防腐剂等国家明令禁止的添加物。</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11、水果类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必须是新鲜、质优、无污染、无变质、无异味，符合食品安全要求的产品，每批次货物提供必要的质量证明材料。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12、点心及其他类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必须是无酸变、无腐烂、质优、无污染、无变质、保持应有的色泽，硫等物质含量不得超过国家有关规定，符合食品安全要求的产品，产品具QS认证或食品生产许可。每批次货物提供必要的质量证明材料。</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13、米、面、食用油类</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大米必须满足GB/T 1354-2018 大米标准规定；</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食用植物油类必须满足（GB2716-1988）标准规定；</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大豆油必须满足（GB/T 1535-2017）标准规定；</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面粉必须满足GB13122-1991标准规定；</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大米、食用油、面粉必须确保质优、无污染、无变质、无异味。</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14、食堂用具及易耗品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应符合所配送物品的相应标准。</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特殊要求1</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（1）因配送的食品质量问题引发食品安全事故的；</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（2）配送的食品有假冒伪劣产品两次以上（含两次）的；</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（3）因存在不廉洁行为和安全隐患等造成不良社会影响的；</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（4）有提供虚假发票、票据和代开发票、票据的；</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（5）有任何形式的转包行为的（除征得采购人同意之外）。</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出现一次立即</w:t>
            </w:r>
            <w:r>
              <w:rPr>
                <w:rFonts w:hint="eastAsia" w:ascii="宋体" w:hAnsi="宋体" w:eastAsia="宋体" w:cs="宋体"/>
                <w:color w:val="ff0000"/>
                <w:sz w:val="20"/>
                <w:szCs w:val="20"/>
              </w:rPr>
              <w:t xml:space="preserve">中止</w:t>
            </w:r>
            <w:r>
              <w:rPr>
                <w:rFonts w:hint="eastAsia" w:ascii="宋体" w:hAnsi="宋体" w:eastAsia="宋体" w:cs="宋体"/>
                <w:color w:val="000000"/>
                <w:sz w:val="20"/>
                <w:szCs w:val="20"/>
              </w:rPr>
              <w:t xml:space="preserve">合同，并承担由此造成的经济责任和法律责任。</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特殊要求2</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（1）腐败变质、油脂酸败、霉变生虫、污秽不洁、混有异物、掺假掺杂或者感官性状异常的食品、食品添加剂。 </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（2）含有毒、有害物质或者被有害物质污染，对人体健康有害的。 </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（3）含有致病性微生物，农药残留、兽药残留、生物毒素、重金属等污染物质以及其他危害人体健康的物质含量超过食品安全标准限量的食品。</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（4）未经动物检疫部门检疫、检验或者检疫、检验不合格的肉类及其制品。 </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（5）病死、毒死或者死因不明的禽、畜、水产动物等及其制品。 </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（6）掺假、掺杂、伪造，影响营养、卫生的。 </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（7）用非食品原料加工的，加入非食品用化学物质或者将非食品当作食品的。</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（8）标识标签不符合食品安全要求，标注假生产日期或超过保质期限的。</w:t>
            </w:r>
            <w:r/>
          </w:p>
        </w:tc>
        <w:tc>
          <w:tcPr>
            <w:tcW w:w="1200" w:type="dxa"/>
            <w:vAlign w:val="center"/>
            <w:textDirection w:val="lrTb"/>
            <w:noWrap w:val="false"/>
          </w:tcPr>
          <w:p>
            <w:pPr>
              <w:jc w:val="cente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除全部退货外，将取消供货单位的供货资格，并承担由此造成的经济责任和法律责任。</w:t>
            </w:r>
            <w:r/>
          </w:p>
        </w:tc>
      </w:tr>
      <w:tr>
        <w:trPr>
          <w:trHeight w:val="537"/>
        </w:trPr>
        <w:tc>
          <w:tcPr>
            <w:tcW w:w="614" w:type="dxa"/>
            <w:vAlign w:val="center"/>
            <w:vMerge w:val="restart"/>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1350" w:type="dxa"/>
            <w:vAlign w:val="center"/>
            <w:vMerge w:val="restart"/>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特殊要求3</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（1）所有配送车辆须于每日上午07时00分前配送到位，未按时到达的</w:t>
            </w:r>
            <w:r/>
          </w:p>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200" w:type="dxa"/>
            <w:vAlign w:val="center"/>
            <w:textDirection w:val="lrTb"/>
            <w:noWrap w:val="false"/>
          </w:tcPr>
          <w:p>
            <w:pPr>
              <w:jc w:val="cente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rHeight w:val="537"/>
        </w:trPr>
        <w:tc>
          <w:tcPr>
            <w:tcW w:w="614" w:type="dxa"/>
            <w:vAlign w:val="center"/>
            <w:vMerge w:val="continue"/>
            <w:textDirection w:val="lrTb"/>
            <w:noWrap w:val="false"/>
          </w:tcPr>
          <w:p>
            <w:pPr>
              <w:jc w:val="center"/>
              <w:tabs>
                <w:tab w:val="left" w:pos="1440" w:leader="none"/>
              </w:tabs>
              <w:rPr>
                <w:rFonts w:hint="eastAsia" w:ascii="宋体" w:hAnsi="宋体" w:eastAsia="宋体" w:cs="宋体"/>
                <w:color w:val="000000"/>
                <w:sz w:val="20"/>
                <w:szCs w:val="21"/>
              </w:rPr>
            </w:pPr>
            <w:r>
              <w:rPr>
                <w:rFonts w:hint="eastAsia" w:ascii="宋体" w:hAnsi="宋体" w:eastAsia="宋体" w:cs="宋体"/>
                <w:color w:val="000000"/>
                <w:sz w:val="20"/>
                <w:szCs w:val="21"/>
              </w:rPr>
            </w:r>
            <w:r/>
          </w:p>
        </w:tc>
        <w:tc>
          <w:tcPr>
            <w:tcW w:w="1350" w:type="dxa"/>
            <w:vAlign w:val="center"/>
            <w:vMerge w:val="continue"/>
            <w:textDirection w:val="lrTb"/>
            <w:noWrap w:val="false"/>
          </w:tcPr>
          <w:p>
            <w:pPr>
              <w:jc w:val="center"/>
              <w:spacing w:line="240" w:lineRule="atLeast"/>
              <w:tabs>
                <w:tab w:val="left" w:pos="1440" w:leader="none"/>
              </w:tabs>
              <w:rPr>
                <w:rFonts w:hint="eastAsia" w:ascii="宋体" w:hAnsi="宋体" w:eastAsia="宋体" w:cs="宋体"/>
                <w:color w:val="000000"/>
                <w:sz w:val="20"/>
                <w:szCs w:val="21"/>
              </w:rPr>
            </w:pPr>
            <w:r>
              <w:rPr>
                <w:rFonts w:hint="eastAsia" w:ascii="宋体" w:hAnsi="宋体" w:eastAsia="宋体" w:cs="宋体"/>
                <w:color w:val="000000"/>
                <w:sz w:val="20"/>
                <w:szCs w:val="21"/>
              </w:rPr>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（2）供应商提供的配送食材缺斤少两的（鲜活类超过3% ，冰冻类超过2%，叶菜类超过3%，米面油类超过1%）</w:t>
            </w:r>
            <w:r/>
          </w:p>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200" w:type="dxa"/>
            <w:vAlign w:val="center"/>
            <w:textDirection w:val="lrTb"/>
            <w:noWrap w:val="false"/>
          </w:tcPr>
          <w:p>
            <w:pPr>
              <w:jc w:val="cente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rHeight w:val="2010"/>
        </w:trPr>
        <w:tc>
          <w:tcPr>
            <w:tcW w:w="614" w:type="dxa"/>
            <w:vAlign w:val="center"/>
            <w:vMerge w:val="continue"/>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350" w:type="dxa"/>
            <w:vAlign w:val="center"/>
            <w:vMerge w:val="continue"/>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512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（3）如验收时发现因供应商工作失误造成少送、漏送的，不视为缺斤少两，但供应商必须在4小时内补齐，4小时内不能补齐的</w:t>
            </w:r>
            <w:r/>
          </w:p>
        </w:tc>
        <w:tc>
          <w:tcPr>
            <w:tcW w:w="1200" w:type="dxa"/>
            <w:vAlign w:val="center"/>
            <w:textDirection w:val="lrTb"/>
            <w:noWrap w:val="false"/>
          </w:tcPr>
          <w:p>
            <w:pPr>
              <w:jc w:val="cente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特殊要求4</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严禁提供以下食品：（1）无品名、产地、厂名、生产日期、保质期及中文标识及原料说明的预包装食品（除蔬菜等散装食品）；（2）超过保质期限或不符合食品标签规定的预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食品原料和滥用食品添加剂，农药残留超标的水果、蔬菜等；（5）其他不符合食品卫生标准和要求的食品。</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除全部退货外，将取消其单项配送资格，且采购人有权自行选择其他供应商进行配送服务，若产生不良后果的，并承担由此造成的经济责任和法律责任。</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配送档案</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建立完整的配送档案，留存完整的配送信息，所有货源可追溯性的信息，有清晰的配送资料或图片，配送数据的汇总、传输，接受监督审查</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w:t>
            </w:r>
            <w:r/>
          </w:p>
        </w:tc>
      </w:tr>
      <w:tr>
        <w:trPr>
          <w:trHeight w:val="837"/>
        </w:trPr>
        <w:tc>
          <w:tcPr>
            <w:tcW w:w="614" w:type="dxa"/>
            <w:vAlign w:val="center"/>
            <w:vMerge w:val="restart"/>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1350" w:type="dxa"/>
            <w:vAlign w:val="center"/>
            <w:vMerge w:val="restart"/>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服务响应</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1、供应商接到采购应急配送需求后，必须在30分钟内响应，1.5小时内配送完成；</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1"/>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rHeight w:val="837"/>
        </w:trPr>
        <w:tc>
          <w:tcPr>
            <w:tcW w:w="614" w:type="dxa"/>
            <w:vAlign w:val="center"/>
            <w:vMerge w:val="continue"/>
            <w:textDirection w:val="lrTb"/>
            <w:noWrap w:val="false"/>
          </w:tcPr>
          <w:p>
            <w:pPr>
              <w:pStyle w:val="1046"/>
              <w:rPr>
                <w:rFonts w:hint="eastAsia" w:ascii="宋体" w:hAnsi="宋体" w:eastAsia="宋体" w:cs="宋体"/>
                <w:color w:val="000000"/>
                <w:sz w:val="20"/>
                <w:szCs w:val="21"/>
              </w:rPr>
            </w:pPr>
            <w:r>
              <w:rPr>
                <w:rFonts w:hint="eastAsia" w:ascii="宋体" w:hAnsi="宋体" w:eastAsia="宋体" w:cs="宋体"/>
                <w:color w:val="000000"/>
                <w:sz w:val="20"/>
                <w:szCs w:val="21"/>
              </w:rPr>
            </w:r>
            <w:r/>
          </w:p>
        </w:tc>
        <w:tc>
          <w:tcPr>
            <w:tcW w:w="1350" w:type="dxa"/>
            <w:vAlign w:val="center"/>
            <w:vMerge w:val="continue"/>
            <w:textDirection w:val="lrTb"/>
            <w:noWrap w:val="false"/>
          </w:tcPr>
          <w:p>
            <w:pPr>
              <w:pStyle w:val="1046"/>
              <w:spacing w:line="240" w:lineRule="atLeast"/>
              <w:rPr>
                <w:rFonts w:hint="eastAsia" w:ascii="宋体" w:hAnsi="宋体" w:eastAsia="宋体" w:cs="宋体"/>
                <w:color w:val="000000"/>
                <w:sz w:val="20"/>
                <w:szCs w:val="21"/>
              </w:rPr>
            </w:pPr>
            <w:r>
              <w:rPr>
                <w:rFonts w:hint="eastAsia" w:ascii="宋体" w:hAnsi="宋体" w:eastAsia="宋体" w:cs="宋体"/>
                <w:color w:val="000000"/>
                <w:sz w:val="20"/>
                <w:szCs w:val="21"/>
              </w:rPr>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2、供应商提供的单项配送食材采购人验收不通过的</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每违反一次扣3分，若违反3次，将取消其单项配送资格，且采购人有权自行选择其他供应商进行配送服务</w:t>
            </w:r>
            <w:r/>
          </w:p>
        </w:tc>
      </w:tr>
      <w:tr>
        <w:trPr>
          <w:trHeight w:val="837"/>
        </w:trPr>
        <w:tc>
          <w:tcPr>
            <w:tcW w:w="614" w:type="dxa"/>
            <w:vAlign w:val="center"/>
            <w:vMerge w:val="continue"/>
            <w:textDirection w:val="lrTb"/>
            <w:noWrap w:val="false"/>
          </w:tcPr>
          <w:p>
            <w:pPr>
              <w:pStyle w:val="1046"/>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350" w:type="dxa"/>
            <w:vAlign w:val="center"/>
            <w:vMerge w:val="continue"/>
            <w:textDirection w:val="lrTb"/>
            <w:noWrap w:val="false"/>
          </w:tcPr>
          <w:p>
            <w:pPr>
              <w:pStyle w:val="1046"/>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5120" w:type="dxa"/>
            <w:vAlign w:val="center"/>
            <w:textDirection w:val="lrTb"/>
            <w:noWrap w:val="false"/>
          </w:tcPr>
          <w:p>
            <w:pPr>
              <w:pStyle w:val="1046"/>
              <w:numPr>
                <w:ilvl w:val="0"/>
                <w:numId w:val="0"/>
              </w:numPr>
              <w:spacing w:line="240" w:lineRule="atLeas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3、因成交供应商所提供的食品发现质量问题的，采购人要求成交供应商及时更换或退货，而成交供应商不及时更换或退货的，或以其他理由予以拒绝的</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将取消其单项配送资格，采购人自行选择其他供应商进行配送服务</w:t>
            </w:r>
            <w:r/>
          </w:p>
        </w:tc>
      </w:tr>
      <w:tr>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保密要求</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不涉及任何案件、不接触秘密、信息、警务工作、相关载体、不在不安全的条件下传递、使用、保存、管理秘密信息和警务工作秘密、不外传及泄露文件、资料、不得私自复制、存储、下载、传输、拍摄</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定期及不定期抽查</w:t>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终止合同，并追究法律责任</w:t>
            </w:r>
            <w:r/>
          </w:p>
        </w:tc>
      </w:tr>
      <w:tr>
        <w:trPr>
          <w:trHeight w:val="853"/>
        </w:trPr>
        <w:tc>
          <w:tcPr>
            <w:tcW w:w="614" w:type="dxa"/>
            <w:vAlign w:val="center"/>
            <w:textDirection w:val="lrTb"/>
            <w:noWrap w:val="false"/>
          </w:tcPr>
          <w:p>
            <w:pPr>
              <w:jc w:val="center"/>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135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其他</w:t>
            </w:r>
            <w:r/>
          </w:p>
        </w:tc>
        <w:tc>
          <w:tcPr>
            <w:tcW w:w="5120" w:type="dxa"/>
            <w:vAlign w:val="center"/>
            <w:textDirection w:val="lrTb"/>
            <w:noWrap w:val="false"/>
          </w:tcPr>
          <w:p>
            <w:pP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其他违法事项</w:t>
            </w:r>
            <w:r/>
          </w:p>
        </w:tc>
        <w:tc>
          <w:tcPr>
            <w:tcW w:w="1200"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1781" w:type="dxa"/>
            <w:vAlign w:val="center"/>
            <w:textDirection w:val="lrTb"/>
            <w:noWrap w:val="false"/>
          </w:tcPr>
          <w:p>
            <w:pPr>
              <w:jc w:val="center"/>
              <w:spacing w:line="240" w:lineRule="atLeast"/>
              <w:tabs>
                <w:tab w:val="left" w:pos="144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终止合同，并追究法律责任</w:t>
            </w:r>
            <w:r/>
          </w:p>
        </w:tc>
      </w:tr>
    </w:tbl>
    <w:p>
      <w:pPr>
        <w:pStyle w:val="798"/>
        <w:rPr>
          <w:rFonts w:hint="eastAsia"/>
        </w:rPr>
      </w:pPr>
      <w:r>
        <w:rPr>
          <w:rFonts w:hint="eastAsia"/>
        </w:rPr>
      </w:r>
      <w:r/>
    </w:p>
    <w:p>
      <w:pPr>
        <w:pStyle w:val="782"/>
      </w:pPr>
      <w:r>
        <w:rPr>
          <w:rFonts w:hint="eastAsia"/>
        </w:rPr>
        <w:t xml:space="preserve">第五章 评标方法及评标标准</w:t>
      </w:r>
      <w:bookmarkEnd w:id="207"/>
      <w:r/>
      <w:bookmarkEnd w:id="208"/>
      <w:r/>
      <w:bookmarkEnd w:id="209"/>
      <w:r/>
      <w:bookmarkEnd w:id="210"/>
      <w:r/>
      <w:bookmarkEnd w:id="211"/>
      <w:r/>
      <w:r/>
    </w:p>
    <w:p>
      <w:pPr>
        <w:pStyle w:val="1019"/>
        <w:ind w:firstLine="442"/>
        <w:rPr>
          <w:rFonts w:ascii="宋体" w:hAnsi="宋体" w:cs="宋体"/>
          <w:b/>
          <w:sz w:val="22"/>
          <w:szCs w:val="22"/>
        </w:rPr>
      </w:pPr>
      <w:r/>
      <w:bookmarkStart w:id="212" w:name="_Toc17490"/>
      <w:r/>
      <w:bookmarkStart w:id="213" w:name="_Toc10959"/>
      <w:r/>
      <w:bookmarkStart w:id="214" w:name="_Toc4233"/>
      <w:r/>
      <w:bookmarkStart w:id="215" w:name="_Toc150173462"/>
      <w:r>
        <w:rPr>
          <w:rFonts w:hint="eastAsia" w:ascii="宋体" w:hAnsi="宋体" w:cs="宋体"/>
          <w:b/>
          <w:sz w:val="22"/>
          <w:szCs w:val="22"/>
        </w:rPr>
        <w:t xml:space="preserve">一、评审方法</w:t>
      </w:r>
      <w:r/>
    </w:p>
    <w:p>
      <w:pPr>
        <w:ind w:firstLine="420"/>
        <w:spacing w:line="360" w:lineRule="auto"/>
        <w:rPr>
          <w:rFonts w:ascii="宋体" w:hAnsi="宋体" w:cs="宋体"/>
        </w:rPr>
      </w:pPr>
      <w:r>
        <w:rPr>
          <w:rFonts w:hint="eastAsia" w:ascii="宋体" w:hAnsi="宋体" w:cs="宋体"/>
        </w:rPr>
        <w:t xml:space="preserve">本项目采用综合评分法，评标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cs="宋体"/>
          <w:b/>
          <w:szCs w:val="21"/>
        </w:rPr>
      </w:pPr>
      <w:r/>
      <w:bookmarkStart w:id="216" w:name="_Toc449017024"/>
      <w:r/>
      <w:bookmarkStart w:id="217" w:name="_Toc449016388"/>
      <w:r>
        <w:rPr>
          <w:rFonts w:hint="eastAsia" w:ascii="宋体" w:hAnsi="宋体" w:cs="宋体"/>
          <w:b/>
        </w:rPr>
        <w:t xml:space="preserve">二、政府采购政策功能落实</w:t>
      </w:r>
      <w:bookmarkEnd w:id="216"/>
      <w:r/>
      <w:bookmarkEnd w:id="217"/>
      <w:r/>
      <w:r/>
    </w:p>
    <w:p>
      <w:pPr>
        <w:ind w:firstLine="420"/>
        <w:spacing w:line="360" w:lineRule="auto"/>
        <w:rPr>
          <w:rFonts w:ascii="宋体" w:hAnsi="宋体" w:cs="宋体"/>
        </w:rPr>
      </w:pPr>
      <w:r>
        <w:rPr>
          <w:rFonts w:hint="eastAsia" w:ascii="宋体" w:hAnsi="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（1）本项目对小型和微型企业产品给予20%的扣除价格，用扣除后的价格参与评审。</w:t>
      </w:r>
      <w:r/>
    </w:p>
    <w:p>
      <w:pPr>
        <w:ind w:firstLine="420"/>
        <w:spacing w:line="360" w:lineRule="auto"/>
        <w:rPr>
          <w:rFonts w:ascii="宋体" w:hAnsi="宋体" w:cs="宋体"/>
        </w:rPr>
      </w:pPr>
      <w:r>
        <w:rPr>
          <w:rFonts w:hint="eastAsia" w:ascii="宋体" w:hAnsi="宋体" w:cs="宋体"/>
        </w:rPr>
        <w:t xml:space="preserve">（2）供应商需按照采购文件的要求提供相应的《企业声明函》。</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（1）本项目对残疾人福利性单位视同小型、微型企业，给予20%的价格扣除，用扣除后的价格参与评审。</w:t>
      </w:r>
      <w:r/>
    </w:p>
    <w:p>
      <w:pPr>
        <w:ind w:firstLine="420"/>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420"/>
        <w:spacing w:line="360" w:lineRule="auto"/>
        <w:rPr>
          <w:rFonts w:ascii="宋体" w:hAnsi="宋体" w:cs="宋体"/>
        </w:rPr>
      </w:pPr>
      <w:r>
        <w:rPr>
          <w:rFonts w:hint="eastAsia" w:ascii="宋体" w:hAnsi="宋体" w:cs="宋体"/>
        </w:rPr>
        <w:t xml:space="preserve">（1）本项目对监狱和戒毒企业（简称监狱企业）视同小型、微型企业，给予20%的价格扣除，用扣除后的价格参与评审。</w:t>
      </w:r>
      <w:r/>
    </w:p>
    <w:p>
      <w:pPr>
        <w:ind w:firstLine="420"/>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rPr>
      </w:pPr>
      <w:r>
        <w:rPr>
          <w:rFonts w:hint="eastAsia" w:ascii="宋体" w:hAnsi="宋体" w:cs="宋体"/>
        </w:rPr>
        <w:t xml:space="preserve">（3）监狱企业标准请参照《关于政府采购支持监狱企业发展有关问题的通知》（财库[2014]68号）。</w:t>
      </w:r>
      <w:r/>
    </w:p>
    <w:p>
      <w:pPr>
        <w:ind w:firstLine="420"/>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20"/>
        <w:spacing w:line="360" w:lineRule="auto"/>
        <w:rPr>
          <w:rFonts w:ascii="宋体" w:hAnsi="宋体" w:cs="宋体"/>
        </w:rPr>
      </w:pPr>
      <w:r>
        <w:rPr>
          <w:rFonts w:hint="eastAsia" w:ascii="宋体" w:hAnsi="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spacing w:line="360" w:lineRule="auto"/>
        <w:rPr>
          <w:rFonts w:ascii="宋体" w:hAnsi="宋体" w:cs="宋体"/>
        </w:rPr>
      </w:pPr>
      <w:r>
        <w:rPr>
          <w:rFonts w:hint="eastAsia" w:ascii="宋体" w:hAnsi="宋体" w:cs="宋体"/>
        </w:rPr>
        <w:t xml:space="preserve">6、联合体各方均为小型、微型企业（残疾人福利单位、监狱企业）的，联合体享受20%价格扣除，用扣除后的价格参与评审。</w:t>
      </w:r>
      <w:r/>
    </w:p>
    <w:p>
      <w:pPr>
        <w:pStyle w:val="876"/>
        <w:ind w:left="0" w:firstLine="422"/>
        <w:tabs>
          <w:tab w:val="left" w:pos="641" w:leader="none"/>
        </w:tabs>
        <w:rPr>
          <w:rFonts w:ascii="宋体" w:hAnsi="宋体" w:cs="宋体"/>
        </w:rPr>
      </w:pPr>
      <w:r>
        <w:rPr>
          <w:rFonts w:hint="eastAsia" w:ascii="宋体" w:hAnsi="宋体" w:cs="宋体"/>
          <w:b/>
          <w:bCs/>
        </w:rPr>
        <w:t xml:space="preserve">注：本项目专门面对中小企业采购，故对小微、残疾人和监狱戒毒企业不做价格扣除优惠。</w:t>
      </w:r>
      <w:r>
        <w:rPr>
          <w:rFonts w:hint="eastAsia" w:ascii="宋体" w:hAnsi="宋体" w:cs="宋体"/>
          <w:b/>
        </w:rPr>
        <w:t xml:space="preserve">三、评审标准</w:t>
      </w:r>
      <w:r/>
    </w:p>
    <w:p>
      <w:r/>
      <w:r/>
    </w:p>
    <w:p>
      <w:pPr>
        <w:ind w:right="813"/>
        <w:jc w:val="center"/>
        <w:spacing w:before="42"/>
        <w:rPr>
          <w:rFonts w:ascii="宋体" w:hAnsi="宋体" w:cs="宋体"/>
          <w:b/>
          <w:sz w:val="20"/>
        </w:rPr>
      </w:pPr>
      <w:r>
        <w:rPr>
          <w:rFonts w:hint="eastAsia" w:ascii="宋体" w:hAnsi="宋体" w:cs="宋体"/>
          <w:b/>
          <w:sz w:val="32"/>
        </w:rPr>
        <w:t xml:space="preserve">评分标准</w:t>
      </w:r>
      <w:r/>
    </w:p>
    <w:p>
      <w:r/>
      <w:r/>
    </w:p>
    <w:p>
      <w:pPr>
        <w:rPr>
          <w:rFonts w:hint="eastAsia"/>
          <w:lang w:val="en-US" w:eastAsia="zh-CN"/>
        </w:rPr>
      </w:pPr>
      <w:r>
        <w:rPr>
          <w:rFonts w:hint="eastAsia"/>
          <w:lang w:val="en-US" w:eastAsia="zh-CN"/>
        </w:rPr>
        <w:t xml:space="preserve">1、价格部分</w:t>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067"/>
        <w:gridCol w:w="857"/>
        <w:gridCol w:w="6375"/>
      </w:tblGrid>
      <w:tr>
        <w:trPr>
          <w:cantSplit/>
          <w:jc w:val="center"/>
          <w:trHeight w:val="9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right w:val="single" w:color="auto" w:sz="4" w:space="0"/>
            </w:tcBorders>
            <w:tcW w:w="1067"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评审项目</w:t>
            </w:r>
            <w:r/>
          </w:p>
        </w:tc>
        <w:tc>
          <w:tcPr>
            <w:tcBorders>
              <w:top w:val="single" w:color="auto" w:sz="4" w:space="0"/>
              <w:left w:val="single" w:color="auto" w:sz="4" w:space="0"/>
              <w:right w:val="single" w:color="auto" w:sz="4" w:space="0"/>
            </w:tcBorders>
            <w:tcW w:w="857"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分值</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right w:val="single" w:color="auto" w:sz="4" w:space="0"/>
            </w:tcBorders>
            <w:tcW w:w="1067"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价格部分</w:t>
            </w:r>
            <w:r/>
          </w:p>
        </w:tc>
        <w:tc>
          <w:tcPr>
            <w:tcBorders>
              <w:top w:val="single" w:color="auto" w:sz="4" w:space="0"/>
              <w:left w:val="single" w:color="auto" w:sz="4" w:space="0"/>
              <w:right w:val="single" w:color="auto" w:sz="4" w:space="0"/>
            </w:tcBorders>
            <w:tcW w:w="857" w:type="dxa"/>
            <w:vAlign w:val="center"/>
            <w:textDirection w:val="lrTb"/>
            <w:noWrap w:val="false"/>
          </w:tcPr>
          <w:p>
            <w:pPr>
              <w:jc w:val="center"/>
              <w:rPr>
                <w:rFonts w:hint="default" w:ascii="宋体" w:hAnsi="宋体" w:eastAsia="宋体"/>
                <w:sz w:val="21"/>
                <w:szCs w:val="21"/>
                <w:lang w:val="en-US" w:eastAsia="zh-CN"/>
              </w:rPr>
            </w:pPr>
            <w:r>
              <w:rPr>
                <w:rFonts w:hint="eastAsia" w:ascii="宋体" w:hAnsi="宋体"/>
                <w:sz w:val="21"/>
                <w:szCs w:val="21"/>
                <w:lang w:val="en-US" w:eastAsia="zh-CN"/>
              </w:rPr>
              <w:t xml:space="preserve">20</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spacing w:line="360" w:lineRule="auto"/>
              <w:widowControl/>
              <w:rPr>
                <w:color w:val="000000"/>
                <w:szCs w:val="21"/>
                <w:lang w:val="en-US"/>
              </w:rPr>
            </w:pPr>
            <w:r>
              <w:rPr>
                <w:rFonts w:hint="eastAsia"/>
                <w:color w:val="000000"/>
                <w:szCs w:val="21"/>
                <w:lang w:val="en-US"/>
              </w:rPr>
              <w:t xml:space="preserve">评标采用低价优先的方法，满足招标文件要求且优惠率报价最高的供应商的价格为评标基准价，其价格分为满分。</w:t>
            </w:r>
            <w:r/>
          </w:p>
          <w:p>
            <w:pPr>
              <w:spacing w:line="360" w:lineRule="auto"/>
              <w:widowControl/>
              <w:rPr>
                <w:color w:val="000000"/>
                <w:szCs w:val="21"/>
                <w:lang w:val="en-US"/>
              </w:rPr>
            </w:pPr>
            <w:r>
              <w:rPr>
                <w:rFonts w:hint="eastAsia"/>
                <w:color w:val="000000"/>
                <w:szCs w:val="21"/>
                <w:lang w:val="en-US"/>
              </w:rPr>
              <w:t xml:space="preserve">本项目评标基准价为：1-最高优惠率</w:t>
            </w:r>
            <w:r/>
          </w:p>
          <w:p>
            <w:pPr>
              <w:spacing w:line="360" w:lineRule="auto"/>
              <w:widowControl/>
              <w:rPr>
                <w:color w:val="000000"/>
                <w:szCs w:val="21"/>
                <w:lang w:val="en-US"/>
              </w:rPr>
            </w:pPr>
            <w:r>
              <w:rPr>
                <w:rFonts w:hint="eastAsia"/>
                <w:color w:val="000000"/>
                <w:szCs w:val="21"/>
                <w:lang w:val="en-US"/>
              </w:rPr>
              <w:t xml:space="preserve">本项目其他供应商的投标报价为：1-其优惠率报价 </w:t>
            </w:r>
            <w:r/>
          </w:p>
          <w:p>
            <w:pPr>
              <w:spacing w:line="360" w:lineRule="auto"/>
              <w:widowControl/>
              <w:rPr>
                <w:color w:val="000000"/>
                <w:szCs w:val="21"/>
                <w:lang w:val="en-US"/>
              </w:rPr>
            </w:pPr>
            <w:r>
              <w:rPr>
                <w:rFonts w:hint="eastAsia"/>
                <w:color w:val="000000"/>
                <w:szCs w:val="21"/>
                <w:lang w:val="en-US"/>
              </w:rPr>
              <w:t xml:space="preserve">其他供应商的价格分统一按照下列公式计算：</w:t>
            </w:r>
            <w:r/>
          </w:p>
          <w:p>
            <w:pPr>
              <w:spacing w:line="360" w:lineRule="auto"/>
              <w:widowControl/>
              <w:rPr>
                <w:rFonts w:hint="eastAsia"/>
                <w:color w:val="000000"/>
                <w:szCs w:val="21"/>
                <w:lang w:val="en-US"/>
              </w:rPr>
            </w:pPr>
            <w:r>
              <w:rPr>
                <w:rFonts w:hint="eastAsia"/>
                <w:color w:val="000000"/>
                <w:szCs w:val="21"/>
                <w:lang w:val="en-US"/>
              </w:rPr>
              <w:t xml:space="preserve">报价得分=(评标基准价/投标报价)×</w:t>
            </w:r>
            <w:r>
              <w:rPr>
                <w:rFonts w:hint="eastAsia"/>
                <w:color w:val="000000"/>
                <w:szCs w:val="21"/>
                <w:lang w:val="en-US" w:eastAsia="zh-CN"/>
              </w:rPr>
              <w:t xml:space="preserve">2</w:t>
            </w:r>
            <w:r>
              <w:rPr>
                <w:rFonts w:hint="eastAsia"/>
                <w:color w:val="000000"/>
                <w:szCs w:val="21"/>
                <w:lang w:val="en-US"/>
              </w:rPr>
              <w:t xml:space="preserve">0（小数点保留两位，四舍五入）</w:t>
            </w:r>
            <w:r/>
          </w:p>
          <w:p>
            <w:pPr>
              <w:spacing w:line="360" w:lineRule="auto"/>
              <w:widowControl/>
              <w:rPr>
                <w:rFonts w:hint="eastAsia" w:ascii="宋体" w:hAnsi="宋体"/>
                <w:sz w:val="21"/>
                <w:szCs w:val="21"/>
              </w:rPr>
            </w:pPr>
            <w:r>
              <w:rPr>
                <w:rFonts w:hint="eastAsia" w:ascii="宋体" w:hAnsi="宋体"/>
                <w:sz w:val="21"/>
                <w:szCs w:val="21"/>
              </w:rPr>
            </w:r>
            <w:r/>
          </w:p>
        </w:tc>
      </w:tr>
    </w:tbl>
    <w:p>
      <w:pPr>
        <w:rPr>
          <w:rFonts w:hint="default" w:eastAsia="宋体"/>
          <w:sz w:val="18"/>
          <w:szCs w:val="20"/>
          <w:lang w:val="en-US" w:eastAsia="zh-CN"/>
        </w:rPr>
      </w:pPr>
      <w:r>
        <w:rPr>
          <w:rFonts w:hint="eastAsia"/>
          <w:sz w:val="18"/>
          <w:szCs w:val="20"/>
          <w:lang w:val="en-US" w:eastAsia="zh-CN"/>
        </w:rPr>
        <w:t xml:space="preserve">2、评审内容</w:t>
      </w:r>
      <w:r/>
    </w:p>
    <w:tbl>
      <w:tblPr>
        <w:tblStyle w:val="792"/>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915"/>
        <w:gridCol w:w="782"/>
        <w:gridCol w:w="6547"/>
      </w:tblGrid>
      <w:tr>
        <w:trPr>
          <w:cantSplit/>
          <w:jc w:val="center"/>
          <w:trHeight w:val="134"/>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评审内容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分值</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评审细则</w:t>
            </w:r>
            <w:r/>
          </w:p>
        </w:tc>
      </w:tr>
      <w:tr>
        <w:trPr>
          <w:cantSplit/>
          <w:jc w:val="center"/>
          <w:trHeight w:val="2107"/>
        </w:trPr>
        <w:tc>
          <w:tcPr>
            <w:tcBorders>
              <w:left w:val="single" w:color="auto" w:sz="4" w:space="0"/>
              <w:right w:val="single" w:color="auto" w:sz="4" w:space="0"/>
            </w:tcBorders>
            <w:tcW w:w="838" w:type="dxa"/>
            <w:vAlign w:val="center"/>
            <w:vMerge w:val="restart"/>
            <w:textDirection w:val="lrTb"/>
            <w:noWrap w:val="false"/>
          </w:tcPr>
          <w:p>
            <w:pPr>
              <w:contextualSpacing/>
              <w:jc w:val="center"/>
              <w:widowControl/>
              <w:rPr>
                <w:rFonts w:hint="eastAsia" w:ascii="宋体" w:hAnsi="宋体" w:cs="仿宋"/>
                <w:color w:val="000000"/>
                <w:sz w:val="21"/>
                <w:szCs w:val="21"/>
              </w:rPr>
            </w:pPr>
            <w:r>
              <w:rPr>
                <w:rFonts w:hint="eastAsia" w:ascii="宋体" w:hAnsi="宋体"/>
                <w:sz w:val="21"/>
                <w:szCs w:val="21"/>
              </w:rPr>
              <w:t xml:space="preserve">技术部分</w:t>
            </w:r>
            <w:r/>
          </w:p>
          <w:p>
            <w:pPr>
              <w:jc w:val="center"/>
              <w:rPr>
                <w:rFonts w:hint="eastAsia" w:ascii="宋体" w:hAnsi="宋体"/>
                <w:sz w:val="21"/>
                <w:szCs w:val="21"/>
              </w:rPr>
            </w:pPr>
            <w:r>
              <w:rPr>
                <w:rFonts w:hint="eastAsia" w:ascii="宋体" w:hAnsi="宋体"/>
                <w:sz w:val="21"/>
                <w:szCs w:val="21"/>
                <w:lang w:val="en-US" w:eastAsia="zh-CN"/>
              </w:rPr>
              <w:t xml:space="preserve">68</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宋体"/>
                <w:sz w:val="21"/>
                <w:szCs w:val="21"/>
              </w:rPr>
            </w:pPr>
            <w:r>
              <w:rPr>
                <w:rFonts w:hint="eastAsia" w:ascii="宋体" w:hAnsi="宋体" w:cs="宋体"/>
                <w:sz w:val="21"/>
                <w:szCs w:val="21"/>
              </w:rPr>
              <w:t xml:space="preserve">配送服</w:t>
            </w:r>
            <w:r/>
          </w:p>
          <w:p>
            <w:pPr>
              <w:contextualSpacing/>
              <w:jc w:val="center"/>
              <w:spacing w:line="400" w:lineRule="exact"/>
              <w:widowControl/>
              <w:rPr>
                <w:rFonts w:hint="eastAsia" w:ascii="宋体" w:hAnsi="宋体" w:cs="仿宋"/>
                <w:sz w:val="21"/>
                <w:szCs w:val="21"/>
                <w:lang w:bidi="en-US"/>
              </w:rPr>
            </w:pPr>
            <w:r>
              <w:rPr>
                <w:rFonts w:hint="eastAsia" w:ascii="宋体" w:hAnsi="宋体" w:cs="宋体"/>
                <w:sz w:val="21"/>
                <w:szCs w:val="21"/>
              </w:rPr>
              <w:t xml:space="preserve">务方案</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default" w:ascii="宋体" w:hAnsi="宋体" w:eastAsia="宋体" w:cs="仿宋"/>
                <w:sz w:val="21"/>
                <w:szCs w:val="21"/>
                <w:lang w:val="en-US" w:eastAsia="zh-CN" w:bidi="en-US"/>
              </w:rPr>
            </w:pPr>
            <w:r>
              <w:rPr>
                <w:rFonts w:hint="eastAsia" w:ascii="宋体" w:hAnsi="宋体" w:cs="仿宋"/>
                <w:sz w:val="21"/>
                <w:szCs w:val="21"/>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547" w:type="dxa"/>
            <w:textDirection w:val="lrTb"/>
            <w:noWrap w:val="false"/>
          </w:tcPr>
          <w:p>
            <w:pPr>
              <w:jc w:val="left"/>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根据供应商提供的配送服务方案（包括但不限于配送内容、配送流程、卸货流程、服务热线、人员配置等内容）进行评分：</w:t>
            </w:r>
            <w:r/>
          </w:p>
          <w:p>
            <w:pPr>
              <w:contextualSpacing/>
              <w:spacing w:line="360" w:lineRule="exact"/>
              <w:widowControl/>
              <w:rPr>
                <w:rFonts w:hint="eastAsia" w:ascii="宋体" w:hAnsi="宋体" w:cs="仿宋"/>
                <w:sz w:val="21"/>
                <w:szCs w:val="21"/>
                <w:lang w:bidi="en-US"/>
              </w:rPr>
            </w:pPr>
            <w:r>
              <w:rPr>
                <w:rFonts w:hint="eastAsia" w:ascii="宋体" w:hAnsi="宋体" w:cs="仿宋"/>
                <w:sz w:val="21"/>
                <w:szCs w:val="21"/>
                <w:lang w:bidi="en-US"/>
              </w:rPr>
              <w:t xml:space="preserve">方案合理可行，针对性强的得</w:t>
            </w:r>
            <w:r>
              <w:rPr>
                <w:rFonts w:hint="eastAsia" w:ascii="宋体" w:hAnsi="宋体" w:cs="仿宋"/>
                <w:sz w:val="21"/>
                <w:szCs w:val="21"/>
                <w:lang w:val="en-US" w:eastAsia="zh-CN" w:bidi="en-US"/>
              </w:rPr>
              <w:t xml:space="preserve">10</w:t>
            </w:r>
            <w:r>
              <w:rPr>
                <w:rFonts w:hint="eastAsia" w:ascii="宋体" w:hAnsi="宋体" w:cs="仿宋"/>
                <w:sz w:val="21"/>
                <w:szCs w:val="21"/>
                <w:lang w:bidi="en-US"/>
              </w:rPr>
              <w:t xml:space="preserve">分；</w:t>
            </w:r>
            <w:r/>
          </w:p>
          <w:p>
            <w:pPr>
              <w:contextualSpacing/>
              <w:spacing w:line="360" w:lineRule="exact"/>
              <w:widowControl/>
              <w:rPr>
                <w:rFonts w:hint="eastAsia" w:ascii="宋体" w:hAnsi="宋体" w:cs="仿宋"/>
                <w:sz w:val="21"/>
                <w:szCs w:val="21"/>
                <w:lang w:bidi="en-US"/>
              </w:rPr>
            </w:pPr>
            <w:r>
              <w:rPr>
                <w:rFonts w:hint="eastAsia" w:ascii="宋体" w:hAnsi="宋体" w:cs="仿宋"/>
                <w:sz w:val="21"/>
                <w:szCs w:val="21"/>
                <w:lang w:bidi="en-US"/>
              </w:rPr>
              <w:t xml:space="preserve">方案比较合理可行，针对性较强的得</w:t>
            </w:r>
            <w:r>
              <w:rPr>
                <w:rFonts w:hint="eastAsia" w:ascii="宋体" w:hAnsi="宋体" w:cs="仿宋"/>
                <w:sz w:val="21"/>
                <w:szCs w:val="21"/>
                <w:lang w:val="en-US" w:eastAsia="zh-CN" w:bidi="en-US"/>
              </w:rPr>
              <w:t xml:space="preserve">8</w:t>
            </w:r>
            <w:r>
              <w:rPr>
                <w:rFonts w:hint="eastAsia" w:ascii="宋体" w:hAnsi="宋体" w:cs="仿宋"/>
                <w:sz w:val="21"/>
                <w:szCs w:val="21"/>
                <w:lang w:bidi="en-US"/>
              </w:rPr>
              <w:t xml:space="preserve">分；</w:t>
            </w:r>
            <w:r/>
          </w:p>
          <w:p>
            <w:pPr>
              <w:contextualSpacing/>
              <w:spacing w:line="360" w:lineRule="exact"/>
              <w:widowControl/>
              <w:rPr>
                <w:rFonts w:hint="eastAsia" w:ascii="宋体" w:hAnsi="宋体" w:cs="仿宋"/>
                <w:sz w:val="21"/>
                <w:szCs w:val="21"/>
                <w:lang w:bidi="en-US"/>
              </w:rPr>
            </w:pPr>
            <w:r>
              <w:rPr>
                <w:rFonts w:hint="eastAsia" w:ascii="宋体" w:hAnsi="宋体" w:cs="仿宋"/>
                <w:sz w:val="21"/>
                <w:szCs w:val="21"/>
                <w:lang w:bidi="en-US"/>
              </w:rPr>
              <w:t xml:space="preserve">方案基本合理可行、具备一定的针对性的得</w:t>
            </w:r>
            <w:r>
              <w:rPr>
                <w:rFonts w:hint="eastAsia" w:ascii="宋体" w:hAnsi="宋体" w:cs="仿宋"/>
                <w:sz w:val="21"/>
                <w:szCs w:val="21"/>
                <w:lang w:val="en-US" w:eastAsia="zh-CN" w:bidi="en-US"/>
              </w:rPr>
              <w:t xml:space="preserve">6</w:t>
            </w:r>
            <w:r>
              <w:rPr>
                <w:rFonts w:hint="eastAsia" w:ascii="宋体" w:hAnsi="宋体" w:cs="仿宋"/>
                <w:sz w:val="21"/>
                <w:szCs w:val="21"/>
                <w:lang w:bidi="en-US"/>
              </w:rPr>
              <w:t xml:space="preserve">分；</w:t>
            </w:r>
            <w:r/>
          </w:p>
          <w:p>
            <w:pPr>
              <w:contextualSpacing/>
              <w:spacing w:line="360" w:lineRule="exact"/>
              <w:widowControl/>
              <w:rPr>
                <w:rFonts w:hint="eastAsia" w:ascii="宋体" w:hAnsi="宋体" w:eastAsia="宋体" w:cs="仿宋"/>
                <w:sz w:val="21"/>
                <w:szCs w:val="21"/>
                <w:lang w:eastAsia="zh-CN" w:bidi="en-US"/>
              </w:rPr>
            </w:pPr>
            <w:r>
              <w:rPr>
                <w:rFonts w:hint="eastAsia" w:ascii="宋体" w:hAnsi="宋体"/>
                <w:sz w:val="21"/>
                <w:szCs w:val="21"/>
              </w:rPr>
              <w:t xml:space="preserve">未提供不得分</w:t>
            </w:r>
            <w:r>
              <w:rPr>
                <w:rFonts w:hint="eastAsia" w:ascii="宋体" w:hAnsi="宋体"/>
                <w:sz w:val="21"/>
                <w:szCs w:val="21"/>
                <w:lang w:eastAsia="zh-CN"/>
              </w:rPr>
              <w:t xml:space="preserve">。</w:t>
            </w:r>
            <w:r/>
          </w:p>
        </w:tc>
      </w:tr>
      <w:tr>
        <w:trPr>
          <w:cantSplit/>
          <w:jc w:val="center"/>
          <w:trHeight w:val="2397"/>
        </w:trPr>
        <w:tc>
          <w:tcPr>
            <w:tcBorders>
              <w:left w:val="single" w:color="auto" w:sz="4" w:space="0"/>
              <w:right w:val="single" w:color="auto" w:sz="4" w:space="0"/>
            </w:tcBorders>
            <w:tcW w:w="838" w:type="dxa"/>
            <w:vAlign w:val="center"/>
            <w:vMerge w:val="continue"/>
            <w:textDirection w:val="lrTb"/>
            <w:noWrap w:val="false"/>
          </w:tcPr>
          <w:p>
            <w:pPr>
              <w:contextualSpacing/>
              <w:jc w:val="center"/>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宋体"/>
                <w:sz w:val="21"/>
                <w:szCs w:val="21"/>
              </w:rPr>
              <w:t xml:space="preserve">项目组织构架、岗位职责及制度建设</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10</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contextualSpacing/>
              <w:spacing w:line="360" w:lineRule="exact"/>
              <w:widowControl/>
              <w:rPr>
                <w:rFonts w:hint="eastAsia" w:ascii="宋体" w:hAnsi="宋体" w:cs="仿宋"/>
                <w:sz w:val="21"/>
                <w:szCs w:val="21"/>
              </w:rPr>
            </w:pPr>
            <w:r>
              <w:rPr>
                <w:rFonts w:hint="eastAsia" w:ascii="宋体" w:hAnsi="宋体" w:cs="仿宋"/>
                <w:sz w:val="21"/>
                <w:szCs w:val="21"/>
              </w:rPr>
              <w:t xml:space="preserve">根据供应商提供的项目组织构架、岗位职责及制度建设内容进行评分：</w:t>
            </w:r>
            <w:r/>
          </w:p>
          <w:p>
            <w:pPr>
              <w:contextualSpacing/>
              <w:spacing w:line="360" w:lineRule="exact"/>
              <w:widowControl/>
              <w:rPr>
                <w:rFonts w:hint="eastAsia" w:ascii="宋体" w:hAnsi="宋体" w:cs="仿宋"/>
                <w:sz w:val="21"/>
                <w:szCs w:val="21"/>
              </w:rPr>
            </w:pPr>
            <w:r>
              <w:rPr>
                <w:rFonts w:hint="eastAsia" w:ascii="宋体" w:hAnsi="宋体" w:cs="仿宋"/>
                <w:sz w:val="21"/>
                <w:szCs w:val="21"/>
              </w:rPr>
              <w:t xml:space="preserve">组织构架和岗位职责完整、制度建设健全的，得10分；</w:t>
            </w:r>
            <w:r/>
          </w:p>
          <w:p>
            <w:pPr>
              <w:contextualSpacing/>
              <w:spacing w:line="360" w:lineRule="exact"/>
              <w:widowControl/>
              <w:rPr>
                <w:rFonts w:hint="eastAsia" w:ascii="宋体" w:hAnsi="宋体" w:cs="仿宋"/>
                <w:sz w:val="21"/>
                <w:szCs w:val="21"/>
              </w:rPr>
            </w:pPr>
            <w:r>
              <w:rPr>
                <w:rFonts w:hint="eastAsia" w:ascii="宋体" w:hAnsi="宋体" w:cs="仿宋"/>
                <w:sz w:val="21"/>
                <w:szCs w:val="21"/>
              </w:rPr>
              <w:t xml:space="preserve">组织构架和岗位职责较完整、制度建设较健全的，得</w:t>
            </w:r>
            <w:r>
              <w:rPr>
                <w:rFonts w:hint="eastAsia" w:ascii="宋体" w:hAnsi="宋体" w:cs="仿宋"/>
                <w:sz w:val="21"/>
                <w:szCs w:val="21"/>
                <w:lang w:val="en-US" w:eastAsia="zh-CN"/>
              </w:rPr>
              <w:t xml:space="preserve">8</w:t>
            </w:r>
            <w:r>
              <w:rPr>
                <w:rFonts w:hint="eastAsia" w:ascii="宋体" w:hAnsi="宋体" w:cs="仿宋"/>
                <w:sz w:val="21"/>
                <w:szCs w:val="21"/>
              </w:rPr>
              <w:t xml:space="preserve">分；</w:t>
            </w:r>
            <w:r/>
          </w:p>
          <w:p>
            <w:pPr>
              <w:contextualSpacing/>
              <w:spacing w:line="360" w:lineRule="exact"/>
              <w:widowControl/>
              <w:rPr>
                <w:rFonts w:hint="eastAsia" w:ascii="宋体" w:hAnsi="宋体" w:cs="仿宋"/>
                <w:sz w:val="21"/>
                <w:szCs w:val="21"/>
              </w:rPr>
            </w:pPr>
            <w:r>
              <w:rPr>
                <w:rFonts w:hint="eastAsia" w:ascii="宋体" w:hAnsi="宋体" w:cs="仿宋"/>
                <w:sz w:val="21"/>
                <w:szCs w:val="21"/>
              </w:rPr>
              <w:t xml:space="preserve">组织构架、岗位职责及制度建设，完整性一般，有待完善的，得</w:t>
            </w:r>
            <w:r>
              <w:rPr>
                <w:rFonts w:hint="eastAsia" w:ascii="宋体" w:hAnsi="宋体" w:cs="仿宋"/>
                <w:sz w:val="21"/>
                <w:szCs w:val="21"/>
                <w:lang w:val="en-US" w:eastAsia="zh-CN"/>
              </w:rPr>
              <w:t xml:space="preserve">6</w:t>
            </w:r>
            <w:r>
              <w:rPr>
                <w:rFonts w:hint="eastAsia" w:ascii="宋体" w:hAnsi="宋体" w:cs="仿宋"/>
                <w:sz w:val="21"/>
                <w:szCs w:val="21"/>
              </w:rPr>
              <w:t xml:space="preserve">分；</w:t>
            </w:r>
            <w:r/>
          </w:p>
          <w:p>
            <w:pPr>
              <w:jc w:val="left"/>
              <w:spacing w:line="360" w:lineRule="exact"/>
              <w:rPr>
                <w:rFonts w:hint="eastAsia" w:ascii="宋体" w:hAnsi="宋体" w:eastAsia="宋体" w:cs="宋体"/>
                <w:sz w:val="21"/>
                <w:szCs w:val="21"/>
                <w:lang w:eastAsia="zh-CN"/>
              </w:rPr>
            </w:pPr>
            <w:r>
              <w:rPr>
                <w:rFonts w:hint="eastAsia" w:ascii="宋体" w:hAnsi="宋体"/>
                <w:sz w:val="21"/>
                <w:szCs w:val="21"/>
              </w:rPr>
              <w:t xml:space="preserve">未提供不得分</w:t>
            </w:r>
            <w:r>
              <w:rPr>
                <w:rFonts w:hint="eastAsia" w:ascii="宋体" w:hAnsi="宋体"/>
                <w:sz w:val="21"/>
                <w:szCs w:val="21"/>
                <w:lang w:eastAsia="zh-CN"/>
              </w:rPr>
              <w:t xml:space="preserve">。</w:t>
            </w:r>
            <w:r/>
          </w:p>
        </w:tc>
      </w:tr>
      <w:tr>
        <w:trPr>
          <w:cantSplit/>
          <w:jc w:val="center"/>
          <w:trHeight w:val="2635"/>
        </w:trPr>
        <w:tc>
          <w:tcPr>
            <w:tcBorders>
              <w:left w:val="single" w:color="auto" w:sz="4" w:space="0"/>
              <w:right w:val="single" w:color="auto" w:sz="4" w:space="0"/>
            </w:tcBorders>
            <w:tcW w:w="838" w:type="dxa"/>
            <w:vAlign w:val="center"/>
            <w:vMerge w:val="continue"/>
            <w:textDirection w:val="lrTb"/>
            <w:noWrap w:val="false"/>
          </w:tcPr>
          <w:p>
            <w:pPr>
              <w:contextualSpacing/>
              <w:jc w:val="center"/>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质量保障措施</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8</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left"/>
              <w:spacing w:line="360" w:lineRule="exact"/>
              <w:rPr>
                <w:rFonts w:hint="eastAsia" w:ascii="宋体" w:hAnsi="宋体"/>
                <w:sz w:val="21"/>
                <w:szCs w:val="21"/>
              </w:rPr>
            </w:pPr>
            <w:r>
              <w:rPr>
                <w:rFonts w:hint="eastAsia" w:ascii="宋体" w:hAnsi="宋体"/>
                <w:sz w:val="21"/>
                <w:szCs w:val="21"/>
              </w:rPr>
              <w:t xml:space="preserve">根据供应商提供的质量保障措施（包括但不限于食材保鲜、保质、储存运输等内容）进行评分：</w:t>
            </w:r>
            <w:r/>
          </w:p>
          <w:p>
            <w:pPr>
              <w:jc w:val="left"/>
              <w:spacing w:line="360" w:lineRule="exact"/>
              <w:rPr>
                <w:rFonts w:hint="eastAsia" w:ascii="宋体" w:hAnsi="宋体"/>
                <w:sz w:val="21"/>
                <w:szCs w:val="21"/>
              </w:rPr>
            </w:pPr>
            <w:r>
              <w:rPr>
                <w:rFonts w:hint="eastAsia" w:ascii="宋体" w:hAnsi="宋体"/>
                <w:sz w:val="21"/>
                <w:szCs w:val="21"/>
              </w:rPr>
              <w:t xml:space="preserve">质量保障措施细致全面，内容科学合理，有针对性，可行性强的，得8分；</w:t>
            </w:r>
            <w:r/>
          </w:p>
          <w:p>
            <w:pPr>
              <w:jc w:val="left"/>
              <w:spacing w:line="360" w:lineRule="exact"/>
              <w:rPr>
                <w:rFonts w:hint="eastAsia" w:ascii="宋体" w:hAnsi="宋体"/>
                <w:sz w:val="21"/>
                <w:szCs w:val="21"/>
              </w:rPr>
            </w:pPr>
            <w:r>
              <w:rPr>
                <w:rFonts w:hint="eastAsia" w:ascii="宋体" w:hAnsi="宋体"/>
                <w:sz w:val="21"/>
                <w:szCs w:val="21"/>
              </w:rPr>
              <w:t xml:space="preserve">质量保障措施较全面，内容较科学合理，可行性较强的，得</w:t>
            </w:r>
            <w:r>
              <w:rPr>
                <w:rFonts w:hint="eastAsia" w:ascii="宋体" w:hAnsi="宋体"/>
                <w:sz w:val="21"/>
                <w:szCs w:val="21"/>
                <w:lang w:val="en-US" w:eastAsia="zh-CN"/>
              </w:rPr>
              <w:t xml:space="preserve">6</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质量保障措施一般，可行性一般的，得</w:t>
            </w:r>
            <w:r>
              <w:rPr>
                <w:rFonts w:hint="eastAsia" w:ascii="宋体" w:hAnsi="宋体"/>
                <w:sz w:val="21"/>
                <w:szCs w:val="21"/>
                <w:lang w:val="en-US" w:eastAsia="zh-CN"/>
              </w:rPr>
              <w:t xml:space="preserve">4</w:t>
            </w:r>
            <w:r>
              <w:rPr>
                <w:rFonts w:hint="eastAsia" w:ascii="宋体" w:hAnsi="宋体"/>
                <w:sz w:val="21"/>
                <w:szCs w:val="21"/>
              </w:rPr>
              <w:t xml:space="preserve">分；</w:t>
            </w:r>
            <w:r/>
          </w:p>
          <w:p>
            <w:pPr>
              <w:jc w:val="left"/>
              <w:spacing w:line="360" w:lineRule="exact"/>
              <w:rPr>
                <w:rFonts w:hint="eastAsia" w:ascii="宋体" w:hAnsi="宋体" w:eastAsia="宋体" w:cs="仿宋"/>
                <w:color w:val="000000"/>
                <w:sz w:val="21"/>
                <w:szCs w:val="21"/>
                <w:lang w:eastAsia="zh-CN"/>
              </w:rPr>
            </w:pPr>
            <w:r>
              <w:rPr>
                <w:rFonts w:hint="eastAsia" w:ascii="宋体" w:hAnsi="宋体"/>
                <w:sz w:val="21"/>
                <w:szCs w:val="21"/>
              </w:rPr>
              <w:t xml:space="preserve">未提供不得分</w:t>
            </w:r>
            <w:r>
              <w:rPr>
                <w:rFonts w:hint="eastAsia" w:ascii="宋体" w:hAnsi="宋体"/>
                <w:sz w:val="21"/>
                <w:szCs w:val="21"/>
                <w:lang w:eastAsia="zh-CN"/>
              </w:rPr>
              <w:t xml:space="preserve">。</w:t>
            </w:r>
            <w:r/>
          </w:p>
        </w:tc>
      </w:tr>
      <w:tr>
        <w:trPr>
          <w:cantSplit/>
          <w:jc w:val="center"/>
          <w:trHeight w:val="2682"/>
        </w:trPr>
        <w:tc>
          <w:tcPr>
            <w:tcBorders>
              <w:left w:val="single" w:color="auto" w:sz="4" w:space="0"/>
              <w:right w:val="single" w:color="auto" w:sz="4" w:space="0"/>
            </w:tcBorders>
            <w:tcW w:w="838" w:type="dxa"/>
            <w:vAlign w:val="center"/>
            <w:vMerge w:val="continue"/>
            <w:textDirection w:val="lrTb"/>
            <w:noWrap w:val="false"/>
          </w:tcPr>
          <w:p>
            <w:pPr>
              <w:contextualSpacing/>
              <w:jc w:val="center"/>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安全保</w:t>
            </w:r>
            <w:r/>
          </w:p>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障措施</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8</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left"/>
              <w:spacing w:line="360" w:lineRule="exact"/>
              <w:rPr>
                <w:rFonts w:hint="eastAsia" w:ascii="宋体" w:hAnsi="宋体"/>
                <w:sz w:val="21"/>
                <w:szCs w:val="21"/>
              </w:rPr>
            </w:pPr>
            <w:r>
              <w:rPr>
                <w:rFonts w:hint="eastAsia" w:ascii="宋体" w:hAnsi="宋体"/>
                <w:sz w:val="21"/>
                <w:szCs w:val="21"/>
              </w:rPr>
              <w:t xml:space="preserve">根据供应商提供的安全保障措施（包括但不限于食材的来源、加工、存储环境等内容）进行评分：</w:t>
            </w:r>
            <w:r/>
          </w:p>
          <w:p>
            <w:pPr>
              <w:jc w:val="left"/>
              <w:spacing w:line="360" w:lineRule="exact"/>
              <w:rPr>
                <w:rFonts w:hint="eastAsia" w:ascii="宋体" w:hAnsi="宋体"/>
                <w:sz w:val="21"/>
                <w:szCs w:val="21"/>
              </w:rPr>
            </w:pPr>
            <w:r>
              <w:rPr>
                <w:rFonts w:hint="eastAsia" w:ascii="宋体" w:hAnsi="宋体"/>
                <w:sz w:val="21"/>
                <w:szCs w:val="21"/>
              </w:rPr>
              <w:t xml:space="preserve">安全保障措施细致全面，内容科学合理，有针对性，可行性强的，得8分；</w:t>
            </w:r>
            <w:r/>
          </w:p>
          <w:p>
            <w:pPr>
              <w:jc w:val="left"/>
              <w:spacing w:line="360" w:lineRule="exact"/>
              <w:rPr>
                <w:rFonts w:hint="eastAsia" w:ascii="宋体" w:hAnsi="宋体"/>
                <w:sz w:val="21"/>
                <w:szCs w:val="21"/>
              </w:rPr>
            </w:pPr>
            <w:r>
              <w:rPr>
                <w:rFonts w:hint="eastAsia" w:ascii="宋体" w:hAnsi="宋体"/>
                <w:sz w:val="21"/>
                <w:szCs w:val="21"/>
              </w:rPr>
              <w:t xml:space="preserve">安全保障措施较全面，内容较科学合理，可行性较强的，得</w:t>
            </w:r>
            <w:r>
              <w:rPr>
                <w:rFonts w:hint="eastAsia" w:ascii="宋体" w:hAnsi="宋体"/>
                <w:sz w:val="21"/>
                <w:szCs w:val="21"/>
                <w:lang w:val="en-US" w:eastAsia="zh-CN"/>
              </w:rPr>
              <w:t xml:space="preserve">6</w:t>
            </w:r>
            <w:r>
              <w:rPr>
                <w:rFonts w:hint="eastAsia" w:ascii="宋体" w:hAnsi="宋体"/>
                <w:sz w:val="21"/>
                <w:szCs w:val="21"/>
              </w:rPr>
              <w:t xml:space="preserve">分；</w:t>
            </w:r>
            <w:r/>
          </w:p>
          <w:p>
            <w:pPr>
              <w:jc w:val="left"/>
              <w:spacing w:line="360" w:lineRule="exact"/>
              <w:rPr>
                <w:rFonts w:ascii="宋体" w:hAnsi="宋体"/>
                <w:sz w:val="21"/>
                <w:szCs w:val="21"/>
              </w:rPr>
            </w:pPr>
            <w:r>
              <w:rPr>
                <w:rFonts w:hint="eastAsia" w:ascii="宋体" w:hAnsi="宋体"/>
                <w:sz w:val="21"/>
                <w:szCs w:val="21"/>
              </w:rPr>
              <w:t xml:space="preserve">安全保障措施一般，可行性较低的，得</w:t>
            </w:r>
            <w:r>
              <w:rPr>
                <w:rFonts w:hint="eastAsia" w:ascii="宋体" w:hAnsi="宋体"/>
                <w:sz w:val="21"/>
                <w:szCs w:val="21"/>
                <w:lang w:val="en-US" w:eastAsia="zh-CN"/>
              </w:rPr>
              <w:t xml:space="preserve">4</w:t>
            </w:r>
            <w:r>
              <w:rPr>
                <w:rFonts w:hint="eastAsia" w:ascii="宋体" w:hAnsi="宋体"/>
                <w:sz w:val="21"/>
                <w:szCs w:val="21"/>
              </w:rPr>
              <w:t xml:space="preserve">分；</w:t>
            </w:r>
            <w:r/>
          </w:p>
          <w:p>
            <w:pPr>
              <w:jc w:val="left"/>
              <w:spacing w:line="360" w:lineRule="exact"/>
              <w:rPr>
                <w:rFonts w:hint="eastAsia" w:ascii="宋体" w:hAnsi="宋体" w:cs="宋体"/>
                <w:color w:val="000000"/>
                <w:sz w:val="21"/>
                <w:szCs w:val="21"/>
              </w:rPr>
            </w:pPr>
            <w:r>
              <w:rPr>
                <w:rFonts w:hint="eastAsia" w:ascii="宋体" w:hAnsi="宋体"/>
                <w:sz w:val="21"/>
                <w:szCs w:val="21"/>
              </w:rPr>
              <w:t xml:space="preserve">未提供不得分。</w:t>
            </w:r>
            <w:r/>
          </w:p>
        </w:tc>
      </w:tr>
      <w:tr>
        <w:trPr>
          <w:cantSplit/>
          <w:jc w:val="center"/>
          <w:trHeight w:val="3145"/>
        </w:trPr>
        <w:tc>
          <w:tcPr>
            <w:tcBorders>
              <w:left w:val="single" w:color="auto" w:sz="4" w:space="0"/>
              <w:right w:val="single" w:color="auto" w:sz="4" w:space="0"/>
            </w:tcBorders>
            <w:tcW w:w="838" w:type="dxa"/>
            <w:vAlign w:val="center"/>
            <w:vMerge w:val="continue"/>
            <w:textDirection w:val="lrTb"/>
            <w:noWrap w:val="false"/>
          </w:tcPr>
          <w:p>
            <w:pPr>
              <w:contextualSpacing/>
              <w:jc w:val="center"/>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宋体"/>
                <w:color w:val="000000"/>
                <w:sz w:val="21"/>
                <w:szCs w:val="21"/>
              </w:rPr>
            </w:pPr>
            <w:r>
              <w:rPr>
                <w:rFonts w:hint="eastAsia" w:ascii="宋体" w:hAnsi="宋体" w:cs="宋体"/>
                <w:color w:val="000000"/>
                <w:sz w:val="21"/>
                <w:szCs w:val="21"/>
              </w:rPr>
              <w:t xml:space="preserve">经营场</w:t>
            </w:r>
            <w:r/>
          </w:p>
          <w:p>
            <w:pPr>
              <w:contextualSpacing/>
              <w:jc w:val="center"/>
              <w:spacing w:line="400" w:lineRule="exact"/>
              <w:widowControl/>
              <w:rPr>
                <w:rFonts w:hint="eastAsia" w:ascii="宋体" w:hAnsi="宋体" w:cs="仿宋"/>
                <w:sz w:val="21"/>
                <w:szCs w:val="21"/>
                <w:lang w:bidi="en-US"/>
              </w:rPr>
            </w:pPr>
            <w:r>
              <w:rPr>
                <w:rFonts w:hint="eastAsia" w:ascii="宋体" w:hAnsi="宋体" w:cs="宋体"/>
                <w:color w:val="000000"/>
                <w:sz w:val="21"/>
                <w:szCs w:val="21"/>
              </w:rPr>
              <w:t xml:space="preserve">地布局</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宋体"/>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left"/>
              <w:spacing w:line="360" w:lineRule="exact"/>
              <w:rPr>
                <w:rFonts w:hint="eastAsia" w:ascii="宋体" w:hAnsi="宋体"/>
                <w:sz w:val="21"/>
                <w:szCs w:val="21"/>
              </w:rPr>
            </w:pPr>
            <w:r>
              <w:rPr>
                <w:rFonts w:hint="eastAsia" w:ascii="宋体" w:hAnsi="宋体"/>
                <w:sz w:val="21"/>
                <w:szCs w:val="21"/>
              </w:rPr>
              <w:t xml:space="preserve">根据供应商提供的车辆装卸场地布局、物资分发区、仓储区、肉类分割、蔬菜分拣等加工区、筐箱清洗区、消毒区布局情况进行评分，须提供布局介绍及现场拍摄彩图：</w:t>
            </w:r>
            <w:r/>
          </w:p>
          <w:p>
            <w:pPr>
              <w:jc w:val="left"/>
              <w:spacing w:line="360" w:lineRule="exact"/>
              <w:rPr>
                <w:rFonts w:hint="eastAsia" w:ascii="宋体" w:hAnsi="宋体"/>
                <w:sz w:val="21"/>
                <w:szCs w:val="21"/>
              </w:rPr>
            </w:pPr>
            <w:r>
              <w:rPr>
                <w:rFonts w:hint="eastAsia" w:ascii="宋体" w:hAnsi="宋体"/>
                <w:sz w:val="21"/>
                <w:szCs w:val="21"/>
              </w:rPr>
              <w:t xml:space="preserve">场地布局合理、干净整洁、实用性强，优于采购需求的，得8分；</w:t>
            </w:r>
            <w:r/>
          </w:p>
          <w:p>
            <w:pPr>
              <w:jc w:val="left"/>
              <w:spacing w:line="360" w:lineRule="exact"/>
              <w:rPr>
                <w:rFonts w:hint="eastAsia" w:ascii="宋体" w:hAnsi="宋体"/>
                <w:sz w:val="21"/>
                <w:szCs w:val="21"/>
              </w:rPr>
            </w:pPr>
            <w:r>
              <w:rPr>
                <w:rFonts w:hint="eastAsia" w:ascii="宋体" w:hAnsi="宋体"/>
                <w:sz w:val="21"/>
                <w:szCs w:val="21"/>
              </w:rPr>
              <w:t xml:space="preserve">场地布局合理、干净整洁、实用性较强的，满足采购需求的，得</w:t>
            </w:r>
            <w:r>
              <w:rPr>
                <w:rFonts w:hint="eastAsia" w:ascii="宋体" w:hAnsi="宋体"/>
                <w:sz w:val="21"/>
                <w:szCs w:val="21"/>
                <w:lang w:val="en-US" w:eastAsia="zh-CN"/>
              </w:rPr>
              <w:t xml:space="preserve">6</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场地布局一般、实用性一般的，得</w:t>
            </w:r>
            <w:r>
              <w:rPr>
                <w:rFonts w:hint="eastAsia" w:ascii="宋体" w:hAnsi="宋体"/>
                <w:sz w:val="21"/>
                <w:szCs w:val="21"/>
                <w:lang w:val="en-US" w:eastAsia="zh-CN"/>
              </w:rPr>
              <w:t xml:space="preserve">4</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未提供的不得分。</w:t>
            </w:r>
            <w:r/>
          </w:p>
        </w:tc>
      </w:tr>
      <w:tr>
        <w:trPr>
          <w:cantSplit/>
          <w:jc w:val="center"/>
          <w:trHeight w:val="2555"/>
        </w:trPr>
        <w:tc>
          <w:tcPr>
            <w:tcBorders>
              <w:left w:val="single" w:color="auto" w:sz="4" w:space="0"/>
              <w:right w:val="single" w:color="auto" w:sz="4" w:space="0"/>
            </w:tcBorders>
            <w:tcW w:w="838" w:type="dxa"/>
            <w:vAlign w:val="center"/>
            <w:vMerge w:val="continue"/>
            <w:textDirection w:val="lrTb"/>
            <w:noWrap w:val="false"/>
          </w:tcPr>
          <w:p>
            <w:pPr>
              <w:contextualSpacing/>
              <w:jc w:val="center"/>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宋体"/>
                <w:color w:val="000000"/>
                <w:sz w:val="21"/>
                <w:szCs w:val="21"/>
              </w:rPr>
            </w:pPr>
            <w:r>
              <w:rPr>
                <w:rFonts w:hint="eastAsia" w:ascii="宋体" w:hAnsi="宋体" w:cs="宋体"/>
                <w:color w:val="000000"/>
                <w:sz w:val="21"/>
                <w:szCs w:val="21"/>
              </w:rPr>
              <w:t xml:space="preserve">设施设备配置情况</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left"/>
              <w:spacing w:line="360" w:lineRule="exact"/>
              <w:rPr>
                <w:rFonts w:hint="eastAsia" w:ascii="宋体" w:hAnsi="宋体"/>
                <w:sz w:val="21"/>
                <w:szCs w:val="21"/>
              </w:rPr>
            </w:pPr>
            <w:r>
              <w:rPr>
                <w:rFonts w:hint="eastAsia" w:ascii="宋体" w:hAnsi="宋体"/>
                <w:sz w:val="21"/>
                <w:szCs w:val="21"/>
              </w:rPr>
              <w:t xml:space="preserve">根据供应商提供的肉类分割、食材分拣、食材封装保鲜设备、清洗、消毒等设备设施情况进行评分，须提供设施情况介绍及设备现场拍摄彩图：</w:t>
            </w:r>
            <w:r/>
          </w:p>
          <w:p>
            <w:pPr>
              <w:jc w:val="left"/>
              <w:spacing w:line="360" w:lineRule="exact"/>
              <w:rPr>
                <w:rFonts w:hint="eastAsia" w:ascii="宋体" w:hAnsi="宋体"/>
                <w:sz w:val="21"/>
                <w:szCs w:val="21"/>
              </w:rPr>
            </w:pPr>
            <w:r>
              <w:rPr>
                <w:rFonts w:hint="eastAsia" w:ascii="宋体" w:hAnsi="宋体"/>
                <w:sz w:val="21"/>
                <w:szCs w:val="21"/>
              </w:rPr>
              <w:t xml:space="preserve">设施完善、设备先进、功能齐全，优于采购需求的，得8分；</w:t>
            </w:r>
            <w:r/>
          </w:p>
          <w:p>
            <w:pPr>
              <w:jc w:val="left"/>
              <w:spacing w:line="360" w:lineRule="exact"/>
              <w:rPr>
                <w:rFonts w:hint="eastAsia" w:ascii="宋体" w:hAnsi="宋体"/>
                <w:sz w:val="21"/>
                <w:szCs w:val="21"/>
              </w:rPr>
            </w:pPr>
            <w:r>
              <w:rPr>
                <w:rFonts w:hint="eastAsia" w:ascii="宋体" w:hAnsi="宋体"/>
                <w:sz w:val="21"/>
                <w:szCs w:val="21"/>
              </w:rPr>
              <w:t xml:space="preserve">设施较完善、设备较先进、功能较齐全，满足采购需求的，得</w:t>
            </w:r>
            <w:r>
              <w:rPr>
                <w:rFonts w:hint="eastAsia" w:ascii="宋体" w:hAnsi="宋体"/>
                <w:sz w:val="21"/>
                <w:szCs w:val="21"/>
                <w:lang w:val="en-US" w:eastAsia="zh-CN"/>
              </w:rPr>
              <w:t xml:space="preserve">6</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设施、设备完善性、先进性一般、功能有待完善的，得</w:t>
            </w:r>
            <w:r>
              <w:rPr>
                <w:rFonts w:hint="eastAsia" w:ascii="宋体" w:hAnsi="宋体"/>
                <w:sz w:val="21"/>
                <w:szCs w:val="21"/>
                <w:lang w:val="en-US" w:eastAsia="zh-CN"/>
              </w:rPr>
              <w:t xml:space="preserve">4</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未提供不得分。</w:t>
            </w:r>
            <w:r/>
          </w:p>
        </w:tc>
      </w:tr>
      <w:tr>
        <w:trPr>
          <w:cantSplit/>
          <w:jc w:val="center"/>
          <w:trHeight w:val="2570"/>
        </w:trPr>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宋体" w:hAnsi="宋体"/>
                <w:sz w:val="21"/>
                <w:szCs w:val="21"/>
              </w:rPr>
            </w:pPr>
            <w:r/>
            <w:bookmarkStart w:id="218" w:name="_Hlk184146304"/>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配送信息档案管理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eastAsia="宋体" w:cs="仿宋"/>
                <w:sz w:val="21"/>
                <w:szCs w:val="21"/>
                <w:lang w:eastAsia="zh-CN" w:bidi="en-US"/>
              </w:rPr>
            </w:pPr>
            <w:r>
              <w:rPr>
                <w:rFonts w:hint="eastAsia" w:ascii="宋体" w:hAnsi="宋体" w:cs="仿宋"/>
                <w:sz w:val="21"/>
                <w:szCs w:val="21"/>
                <w:lang w:val="en-US" w:eastAsia="zh-CN" w:bidi="en-US"/>
              </w:rPr>
              <w:t xml:space="preserve">8</w:t>
            </w:r>
            <w:r/>
          </w:p>
        </w:tc>
        <w:tc>
          <w:tcPr>
            <w:tcBorders>
              <w:top w:val="single" w:color="auto" w:sz="4" w:space="0"/>
              <w:left w:val="single" w:color="auto" w:sz="4" w:space="0"/>
              <w:bottom w:val="single" w:color="auto" w:sz="4" w:space="0"/>
              <w:right w:val="single" w:color="auto" w:sz="4" w:space="0"/>
            </w:tcBorders>
            <w:tcW w:w="6547" w:type="dxa"/>
            <w:textDirection w:val="lrTb"/>
            <w:noWrap w:val="false"/>
          </w:tcPr>
          <w:p>
            <w:pPr>
              <w:jc w:val="left"/>
              <w:spacing w:line="360" w:lineRule="exact"/>
              <w:rPr>
                <w:rFonts w:hint="eastAsia" w:ascii="宋体" w:hAnsi="宋体"/>
                <w:sz w:val="21"/>
                <w:szCs w:val="21"/>
              </w:rPr>
            </w:pPr>
            <w:r>
              <w:rPr>
                <w:rFonts w:hint="eastAsia" w:ascii="宋体" w:hAnsi="宋体"/>
                <w:sz w:val="21"/>
                <w:szCs w:val="21"/>
              </w:rPr>
              <w:t xml:space="preserve">根据供应商提供的配送信息档案管理方案（包括但不限于配送信息的收集、记录、汇总、保密、保管，档案文件的提交等内容）进行评分：</w:t>
            </w:r>
            <w:r/>
          </w:p>
          <w:p>
            <w:pPr>
              <w:jc w:val="left"/>
              <w:spacing w:line="360" w:lineRule="exact"/>
              <w:rPr>
                <w:rFonts w:hint="eastAsia" w:ascii="宋体" w:hAnsi="宋体"/>
                <w:sz w:val="21"/>
                <w:szCs w:val="21"/>
              </w:rPr>
            </w:pPr>
            <w:r>
              <w:rPr>
                <w:rFonts w:hint="eastAsia" w:ascii="宋体" w:hAnsi="宋体"/>
                <w:sz w:val="21"/>
                <w:szCs w:val="21"/>
              </w:rPr>
              <w:t xml:space="preserve">方案细致全面，内容科学合理有针对性，清晰规范的，得</w:t>
            </w:r>
            <w:r>
              <w:rPr>
                <w:rFonts w:hint="eastAsia" w:ascii="宋体" w:hAnsi="宋体"/>
                <w:sz w:val="21"/>
                <w:szCs w:val="21"/>
                <w:lang w:val="en-US" w:eastAsia="zh-CN"/>
              </w:rPr>
              <w:t xml:space="preserve">8</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方案一般，内容科学基本合理，可行性一般的，得</w:t>
            </w:r>
            <w:r>
              <w:rPr>
                <w:rFonts w:hint="eastAsia" w:ascii="宋体" w:hAnsi="宋体"/>
                <w:sz w:val="21"/>
                <w:szCs w:val="21"/>
                <w:lang w:val="en-US" w:eastAsia="zh-CN"/>
              </w:rPr>
              <w:t xml:space="preserve">6</w:t>
            </w:r>
            <w:r>
              <w:rPr>
                <w:rFonts w:hint="eastAsia" w:ascii="宋体" w:hAnsi="宋体"/>
                <w:sz w:val="21"/>
                <w:szCs w:val="21"/>
              </w:rPr>
              <w:t xml:space="preserve">分；</w:t>
            </w:r>
            <w:r/>
          </w:p>
          <w:p>
            <w:pPr>
              <w:jc w:val="left"/>
              <w:spacing w:line="360" w:lineRule="exact"/>
              <w:rPr>
                <w:rFonts w:hint="eastAsia" w:ascii="宋体" w:hAnsi="宋体"/>
                <w:sz w:val="21"/>
                <w:szCs w:val="21"/>
              </w:rPr>
            </w:pPr>
            <w:r>
              <w:rPr>
                <w:rFonts w:hint="eastAsia" w:ascii="宋体" w:hAnsi="宋体"/>
                <w:sz w:val="21"/>
                <w:szCs w:val="21"/>
              </w:rPr>
              <w:t xml:space="preserve">方案不完整，可行性较低的，得</w:t>
            </w:r>
            <w:r>
              <w:rPr>
                <w:rFonts w:hint="eastAsia" w:ascii="宋体" w:hAnsi="宋体"/>
                <w:sz w:val="21"/>
                <w:szCs w:val="21"/>
                <w:lang w:val="en-US" w:eastAsia="zh-CN"/>
              </w:rPr>
              <w:t xml:space="preserve">4</w:t>
            </w:r>
            <w:r>
              <w:rPr>
                <w:rFonts w:hint="eastAsia" w:ascii="宋体" w:hAnsi="宋体"/>
                <w:sz w:val="21"/>
                <w:szCs w:val="21"/>
              </w:rPr>
              <w:t xml:space="preserve">分；</w:t>
            </w:r>
            <w:r/>
          </w:p>
          <w:p>
            <w:pPr>
              <w:contextualSpacing/>
              <w:spacing w:line="360" w:lineRule="exact"/>
              <w:widowControl/>
              <w:rPr>
                <w:rFonts w:hint="eastAsia" w:ascii="宋体" w:hAnsi="宋体" w:eastAsia="宋体" w:cs="仿宋"/>
                <w:color w:val="000000"/>
                <w:sz w:val="21"/>
                <w:szCs w:val="21"/>
                <w:lang w:eastAsia="zh-CN"/>
              </w:rPr>
            </w:pPr>
            <w:r>
              <w:rPr>
                <w:rFonts w:hint="eastAsia" w:ascii="宋体" w:hAnsi="宋体"/>
                <w:sz w:val="21"/>
                <w:szCs w:val="21"/>
              </w:rPr>
              <w:t xml:space="preserve">未提供不得分</w:t>
            </w:r>
            <w:r>
              <w:rPr>
                <w:rFonts w:hint="eastAsia" w:ascii="宋体" w:hAnsi="宋体"/>
                <w:sz w:val="21"/>
                <w:szCs w:val="21"/>
                <w:lang w:eastAsia="zh-CN"/>
              </w:rPr>
              <w:t xml:space="preserve">。</w:t>
            </w:r>
            <w:bookmarkEnd w:id="218"/>
            <w:r/>
            <w:r/>
          </w:p>
        </w:tc>
      </w:tr>
      <w:tr>
        <w:trPr>
          <w:cantSplit/>
          <w:jc w:val="center"/>
          <w:trHeight w:val="2018"/>
        </w:trPr>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应急预案</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eastAsia="宋体" w:cs="仿宋"/>
                <w:sz w:val="21"/>
                <w:szCs w:val="21"/>
                <w:lang w:eastAsia="zh-CN" w:bidi="en-US"/>
              </w:rPr>
            </w:pPr>
            <w:r>
              <w:rPr>
                <w:rFonts w:hint="eastAsia" w:ascii="宋体" w:hAnsi="宋体" w:cs="仿宋"/>
                <w:sz w:val="21"/>
                <w:szCs w:val="21"/>
                <w:lang w:val="en-US" w:eastAsia="zh-CN" w:bidi="en-US"/>
              </w:rPr>
              <w:t xml:space="preserve">8</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contextualSpacing/>
              <w:spacing w:line="360" w:lineRule="exact"/>
              <w:widowControl/>
              <w:rPr>
                <w:rFonts w:hint="eastAsia" w:ascii="宋体" w:hAnsi="宋体" w:cs="仿宋"/>
                <w:color w:val="000000"/>
                <w:sz w:val="21"/>
                <w:szCs w:val="21"/>
              </w:rPr>
            </w:pPr>
            <w:r>
              <w:rPr>
                <w:rFonts w:hint="eastAsia" w:ascii="宋体" w:hAnsi="宋体" w:cs="仿宋"/>
                <w:color w:val="000000"/>
                <w:sz w:val="21"/>
                <w:szCs w:val="21"/>
              </w:rPr>
              <w:t xml:space="preserve">根据供应商提供的应急预案（包括但不限于食品安全事故、临时性活动、暴雨、台风、大雪、高温极端天气等各类突发事件处置内容）进行评分：</w:t>
            </w:r>
            <w:r/>
          </w:p>
          <w:p>
            <w:pPr>
              <w:contextualSpacing/>
              <w:spacing w:line="360" w:lineRule="exact"/>
              <w:widowControl/>
              <w:rPr>
                <w:rFonts w:hint="eastAsia" w:ascii="宋体" w:hAnsi="宋体" w:cs="仿宋"/>
                <w:color w:val="000000"/>
                <w:sz w:val="21"/>
                <w:szCs w:val="21"/>
              </w:rPr>
            </w:pPr>
            <w:r>
              <w:rPr>
                <w:rFonts w:hint="eastAsia" w:ascii="宋体" w:hAnsi="宋体" w:cs="仿宋"/>
                <w:color w:val="000000"/>
                <w:sz w:val="21"/>
                <w:szCs w:val="21"/>
              </w:rPr>
              <w:t xml:space="preserve">方案健全、科学合理、针对性、可行性强的，得</w:t>
            </w:r>
            <w:r>
              <w:rPr>
                <w:rFonts w:hint="eastAsia" w:ascii="宋体" w:hAnsi="宋体" w:cs="仿宋"/>
                <w:color w:val="000000"/>
                <w:sz w:val="21"/>
                <w:szCs w:val="21"/>
                <w:lang w:val="en-US" w:eastAsia="zh-CN"/>
              </w:rPr>
              <w:t xml:space="preserve">8</w:t>
            </w:r>
            <w:r>
              <w:rPr>
                <w:rFonts w:hint="eastAsia" w:ascii="宋体" w:hAnsi="宋体" w:cs="仿宋"/>
                <w:color w:val="000000"/>
                <w:sz w:val="21"/>
                <w:szCs w:val="21"/>
              </w:rPr>
              <w:t xml:space="preserve">分；</w:t>
            </w:r>
            <w:r/>
          </w:p>
          <w:p>
            <w:pPr>
              <w:contextualSpacing/>
              <w:spacing w:line="360" w:lineRule="exact"/>
              <w:widowControl/>
              <w:rPr>
                <w:rFonts w:hint="eastAsia" w:ascii="宋体" w:hAnsi="宋体" w:cs="仿宋"/>
                <w:color w:val="000000"/>
                <w:sz w:val="21"/>
                <w:szCs w:val="21"/>
              </w:rPr>
            </w:pPr>
            <w:r>
              <w:rPr>
                <w:rFonts w:hint="eastAsia" w:ascii="宋体" w:hAnsi="宋体" w:cs="仿宋"/>
                <w:color w:val="000000"/>
                <w:sz w:val="21"/>
                <w:szCs w:val="21"/>
              </w:rPr>
              <w:t xml:space="preserve">方案内容较完整，较科学合理、针对性、可行性较强的，得</w:t>
            </w:r>
            <w:r>
              <w:rPr>
                <w:rFonts w:hint="eastAsia" w:ascii="宋体" w:hAnsi="宋体" w:cs="仿宋"/>
                <w:color w:val="000000"/>
                <w:sz w:val="21"/>
                <w:szCs w:val="21"/>
                <w:lang w:val="en-US" w:eastAsia="zh-CN"/>
              </w:rPr>
              <w:t xml:space="preserve">6</w:t>
            </w:r>
            <w:r>
              <w:rPr>
                <w:rFonts w:hint="eastAsia" w:ascii="宋体" w:hAnsi="宋体" w:cs="仿宋"/>
                <w:color w:val="000000"/>
                <w:sz w:val="21"/>
                <w:szCs w:val="21"/>
              </w:rPr>
              <w:t xml:space="preserve">分；</w:t>
            </w:r>
            <w:r/>
          </w:p>
          <w:p>
            <w:pPr>
              <w:contextualSpacing/>
              <w:spacing w:line="360" w:lineRule="exact"/>
              <w:widowControl/>
              <w:rPr>
                <w:rFonts w:hint="eastAsia" w:ascii="宋体" w:hAnsi="宋体" w:cs="仿宋"/>
                <w:color w:val="000000"/>
                <w:sz w:val="21"/>
                <w:szCs w:val="21"/>
              </w:rPr>
            </w:pPr>
            <w:r>
              <w:rPr>
                <w:rFonts w:hint="eastAsia" w:ascii="宋体" w:hAnsi="宋体" w:cs="仿宋"/>
                <w:color w:val="000000"/>
                <w:sz w:val="21"/>
                <w:szCs w:val="21"/>
              </w:rPr>
              <w:t xml:space="preserve">方案内容基本完整，科学性、合理性、针对性、可行性一般的，得</w:t>
            </w:r>
            <w:r>
              <w:rPr>
                <w:rFonts w:hint="eastAsia" w:ascii="宋体" w:hAnsi="宋体" w:cs="仿宋"/>
                <w:color w:val="000000"/>
                <w:sz w:val="21"/>
                <w:szCs w:val="21"/>
                <w:lang w:val="en-US" w:eastAsia="zh-CN"/>
              </w:rPr>
              <w:t xml:space="preserve">4</w:t>
            </w:r>
            <w:r>
              <w:rPr>
                <w:rFonts w:hint="eastAsia" w:ascii="宋体" w:hAnsi="宋体" w:cs="仿宋"/>
                <w:color w:val="000000"/>
                <w:sz w:val="21"/>
                <w:szCs w:val="21"/>
              </w:rPr>
              <w:t xml:space="preserve">分；</w:t>
            </w:r>
            <w:r/>
          </w:p>
          <w:p>
            <w:pPr>
              <w:contextualSpacing/>
              <w:spacing w:line="360" w:lineRule="exact"/>
              <w:widowControl/>
              <w:rPr>
                <w:rFonts w:hint="eastAsia" w:ascii="宋体" w:hAnsi="宋体" w:eastAsia="宋体" w:cs="仿宋"/>
                <w:sz w:val="21"/>
                <w:szCs w:val="21"/>
                <w:lang w:eastAsia="zh-CN" w:bidi="en-US"/>
              </w:rPr>
            </w:pPr>
            <w:r>
              <w:rPr>
                <w:rFonts w:hint="eastAsia" w:ascii="宋体" w:hAnsi="宋体" w:cs="仿宋"/>
                <w:color w:val="000000"/>
                <w:sz w:val="21"/>
                <w:szCs w:val="21"/>
              </w:rPr>
              <w:t xml:space="preserve">未提供不得分</w:t>
            </w:r>
            <w:r>
              <w:rPr>
                <w:rFonts w:hint="eastAsia" w:ascii="宋体" w:hAnsi="宋体" w:cs="仿宋"/>
                <w:color w:val="000000"/>
                <w:sz w:val="21"/>
                <w:szCs w:val="21"/>
                <w:lang w:eastAsia="zh-CN"/>
              </w:rPr>
              <w:t xml:space="preserve">。</w:t>
            </w:r>
            <w:r/>
          </w:p>
        </w:tc>
      </w:tr>
      <w:tr>
        <w:trPr>
          <w:cantSplit/>
          <w:jc w:val="center"/>
          <w:trHeight w:val="3347"/>
        </w:trPr>
        <w:tc>
          <w:tcPr>
            <w:tcBorders>
              <w:left w:val="single" w:color="auto" w:sz="4" w:space="0"/>
              <w:right w:val="single" w:color="auto" w:sz="4" w:space="0"/>
            </w:tcBorders>
            <w:tcW w:w="838"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商务部分 1</w:t>
            </w:r>
            <w:r>
              <w:rPr>
                <w:rFonts w:hint="eastAsia" w:ascii="宋体" w:hAnsi="宋体"/>
                <w:sz w:val="21"/>
                <w:szCs w:val="21"/>
                <w:lang w:val="en-US" w:eastAsia="zh-CN"/>
              </w:rPr>
              <w:t xml:space="preserve">2</w:t>
            </w:r>
            <w:r>
              <w:rPr>
                <w:rFonts w:hint="eastAsia" w:ascii="宋体" w:hAnsi="宋体"/>
                <w:sz w:val="21"/>
                <w:szCs w:val="21"/>
              </w:rPr>
              <w:t xml:space="preserve">分</w:t>
            </w:r>
            <w:r/>
          </w:p>
        </w:tc>
        <w:tc>
          <w:tcPr>
            <w:tcBorders>
              <w:top w:val="single" w:color="auto" w:sz="4" w:space="0"/>
              <w:left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拟投入</w:t>
            </w:r>
            <w:r/>
          </w:p>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车辆</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eastAsia="宋体" w:cs="仿宋"/>
                <w:sz w:val="21"/>
                <w:szCs w:val="21"/>
                <w:lang w:eastAsia="zh-CN" w:bidi="en-US"/>
              </w:rPr>
            </w:pPr>
            <w:r>
              <w:rPr>
                <w:rFonts w:hint="eastAsia" w:ascii="宋体" w:hAnsi="宋体" w:cs="仿宋"/>
                <w:sz w:val="21"/>
                <w:szCs w:val="21"/>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spacing w:line="440" w:lineRule="exact"/>
              <w:rPr>
                <w:rFonts w:hint="eastAsia" w:ascii="宋体" w:hAnsi="宋体" w:cs="仿宋"/>
                <w:sz w:val="21"/>
                <w:szCs w:val="21"/>
                <w:lang w:bidi="en-US"/>
              </w:rPr>
            </w:pPr>
            <w:r/>
            <w:bookmarkStart w:id="219" w:name="OLE_LINK23"/>
            <w:r>
              <w:rPr>
                <w:rFonts w:hint="eastAsia" w:ascii="宋体" w:hAnsi="宋体" w:cs="仿宋"/>
                <w:sz w:val="21"/>
                <w:szCs w:val="21"/>
                <w:lang w:bidi="en-US"/>
              </w:rPr>
              <w:t xml:space="preserve">供应商拟投入的带冷藏或冷冻功能的厢式货车车辆，每提供1辆得</w:t>
            </w:r>
            <w:r>
              <w:rPr>
                <w:rFonts w:hint="eastAsia" w:ascii="宋体" w:hAnsi="宋体" w:cs="仿宋"/>
                <w:sz w:val="21"/>
                <w:szCs w:val="21"/>
                <w:lang w:val="en-US" w:eastAsia="zh-CN" w:bidi="en-US"/>
              </w:rPr>
              <w:t xml:space="preserve">3</w:t>
            </w:r>
            <w:r>
              <w:rPr>
                <w:rFonts w:hint="eastAsia" w:ascii="宋体" w:hAnsi="宋体" w:cs="仿宋"/>
                <w:sz w:val="21"/>
                <w:szCs w:val="21"/>
                <w:lang w:bidi="en-US"/>
              </w:rPr>
              <w:t xml:space="preserve">分，此项最高得</w:t>
            </w:r>
            <w:r>
              <w:rPr>
                <w:rFonts w:hint="eastAsia" w:ascii="宋体" w:hAnsi="宋体" w:cs="仿宋"/>
                <w:sz w:val="21"/>
                <w:szCs w:val="21"/>
                <w:lang w:val="en-US" w:eastAsia="zh-CN" w:bidi="en-US"/>
              </w:rPr>
              <w:t xml:space="preserve">6</w:t>
            </w:r>
            <w:r>
              <w:rPr>
                <w:rFonts w:hint="eastAsia" w:ascii="宋体" w:hAnsi="宋体" w:cs="仿宋"/>
                <w:sz w:val="21"/>
                <w:szCs w:val="21"/>
                <w:lang w:bidi="en-US"/>
              </w:rPr>
              <w:t xml:space="preserve">分；</w:t>
            </w:r>
            <w:r/>
          </w:p>
          <w:p>
            <w:pPr>
              <w:contextualSpacing/>
              <w:spacing w:line="440" w:lineRule="exact"/>
              <w:widowControl/>
              <w:rPr>
                <w:rFonts w:hint="eastAsia" w:ascii="宋体" w:hAnsi="宋体"/>
                <w:sz w:val="21"/>
                <w:szCs w:val="21"/>
                <w:lang w:bidi="en-US"/>
              </w:rPr>
            </w:pPr>
            <w:r>
              <w:rPr>
                <w:rFonts w:hint="eastAsia" w:ascii="宋体" w:hAnsi="宋体" w:cs="宋体"/>
                <w:b/>
                <w:sz w:val="18"/>
                <w:szCs w:val="20"/>
              </w:rPr>
              <w:t xml:space="preserve">【</w:t>
            </w:r>
            <w:r>
              <w:rPr>
                <w:rFonts w:hint="eastAsia" w:ascii="宋体" w:hAnsi="宋体"/>
                <w:b/>
                <w:bCs/>
                <w:sz w:val="21"/>
                <w:szCs w:val="21"/>
                <w:lang w:bidi="en-US"/>
              </w:rPr>
              <w:t xml:space="preserve">供应商须提供自有或租赁车辆的彩色图片及行驶证原件扫描件加盖供应商公章。如车辆为自有的，还须提供购买发票或机动车登记证书等证明材料原件扫描件加盖供应商公章，如车辆为租赁的，还须提供租赁合同原件扫描件加盖供应商公章，未提供或未按要求提供不得分</w:t>
            </w:r>
            <w:r>
              <w:rPr>
                <w:rFonts w:hint="eastAsia" w:ascii="宋体" w:hAnsi="宋体"/>
                <w:sz w:val="21"/>
                <w:szCs w:val="21"/>
                <w:lang w:bidi="en-US"/>
              </w:rPr>
              <w:t xml:space="preserve">】</w:t>
            </w:r>
            <w:bookmarkEnd w:id="219"/>
            <w:r/>
            <w:r/>
          </w:p>
        </w:tc>
      </w:tr>
      <w:tr>
        <w:trPr>
          <w:cantSplit/>
          <w:jc w:val="center"/>
          <w:trHeight w:val="1544"/>
        </w:trPr>
        <w:tc>
          <w:tcPr>
            <w:tcBorders>
              <w:left w:val="single" w:color="auto" w:sz="4" w:space="0"/>
              <w:right w:val="single" w:color="auto" w:sz="4" w:space="0"/>
            </w:tcBorders>
            <w:tcW w:w="838" w:type="dxa"/>
            <w:vAlign w:val="center"/>
            <w:vMerge w:val="continue"/>
            <w:textDirection w:val="lrTb"/>
            <w:noWrap w:val="false"/>
          </w:tcPr>
          <w:p>
            <w:pPr>
              <w:jc w:val="left"/>
              <w:widowControl/>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contextualSpacing/>
              <w:jc w:val="center"/>
              <w:spacing w:line="400" w:lineRule="exact"/>
              <w:widowControl/>
              <w:rPr>
                <w:rFonts w:hint="eastAsia" w:ascii="宋体" w:hAnsi="宋体" w:cs="仿宋"/>
                <w:sz w:val="21"/>
                <w:szCs w:val="21"/>
                <w:lang w:bidi="en-US"/>
              </w:rPr>
            </w:pPr>
            <w:r>
              <w:rPr>
                <w:rFonts w:hint="eastAsia" w:ascii="宋体" w:hAnsi="宋体" w:cs="仿宋"/>
                <w:sz w:val="21"/>
                <w:szCs w:val="21"/>
                <w:lang w:bidi="en-US"/>
              </w:rPr>
              <w:t xml:space="preserve">类似</w:t>
            </w:r>
            <w:r>
              <w:rPr>
                <w:rFonts w:hint="eastAsia" w:ascii="宋体" w:hAnsi="宋体" w:cs="仿宋"/>
                <w:sz w:val="21"/>
                <w:szCs w:val="21"/>
                <w:lang w:eastAsia="en-US" w:bidi="en-US"/>
              </w:rPr>
              <w:t xml:space="preserve">业绩</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contextualSpacing/>
              <w:jc w:val="center"/>
              <w:spacing w:line="400" w:lineRule="exact"/>
              <w:widowControl/>
              <w:rPr>
                <w:rFonts w:hint="eastAsia" w:ascii="宋体" w:hAnsi="宋体" w:eastAsia="宋体" w:cs="仿宋"/>
                <w:sz w:val="21"/>
                <w:szCs w:val="21"/>
                <w:lang w:eastAsia="zh-CN" w:bidi="en-US"/>
              </w:rPr>
            </w:pPr>
            <w:r>
              <w:rPr>
                <w:rFonts w:hint="eastAsia" w:ascii="宋体" w:hAnsi="宋体" w:cs="仿宋"/>
                <w:sz w:val="21"/>
                <w:szCs w:val="21"/>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contextualSpacing/>
              <w:spacing w:line="440" w:lineRule="exact"/>
              <w:rPr>
                <w:rFonts w:hint="eastAsia" w:ascii="宋体" w:hAnsi="宋体" w:cs="仿宋"/>
                <w:sz w:val="21"/>
                <w:szCs w:val="21"/>
                <w:lang w:bidi="en-US"/>
              </w:rPr>
            </w:pPr>
            <w:r/>
            <w:bookmarkStart w:id="220" w:name="OLE_LINK15"/>
            <w:r>
              <w:rPr>
                <w:rFonts w:hint="eastAsia" w:ascii="宋体" w:hAnsi="宋体" w:cs="仿宋"/>
                <w:sz w:val="21"/>
                <w:szCs w:val="21"/>
                <w:lang w:bidi="en-US"/>
              </w:rPr>
              <w:t xml:space="preserve">供应商自2022年</w:t>
            </w:r>
            <w:r>
              <w:rPr>
                <w:rFonts w:hint="eastAsia" w:ascii="宋体" w:hAnsi="宋体" w:cs="仿宋"/>
                <w:sz w:val="21"/>
                <w:szCs w:val="21"/>
                <w:lang w:val="en-US" w:eastAsia="zh-CN" w:bidi="en-US"/>
              </w:rPr>
              <w:t xml:space="preserve">11</w:t>
            </w:r>
            <w:r>
              <w:rPr>
                <w:rFonts w:hint="eastAsia" w:ascii="宋体" w:hAnsi="宋体" w:cs="仿宋"/>
                <w:sz w:val="21"/>
                <w:szCs w:val="21"/>
                <w:lang w:bidi="en-US"/>
              </w:rPr>
              <w:t xml:space="preserve">月1日以来（以合同签订时间为准）具有类似食材配送项目业绩的，每有1个得</w:t>
            </w:r>
            <w:r>
              <w:rPr>
                <w:rFonts w:hint="eastAsia" w:ascii="宋体" w:hAnsi="宋体" w:cs="仿宋"/>
                <w:sz w:val="21"/>
                <w:szCs w:val="21"/>
                <w:lang w:val="en-US" w:eastAsia="zh-CN" w:bidi="en-US"/>
              </w:rPr>
              <w:t xml:space="preserve">2</w:t>
            </w:r>
            <w:r>
              <w:rPr>
                <w:rFonts w:hint="eastAsia" w:ascii="宋体" w:hAnsi="宋体" w:cs="仿宋"/>
                <w:sz w:val="21"/>
                <w:szCs w:val="21"/>
                <w:lang w:bidi="en-US"/>
              </w:rPr>
              <w:t xml:space="preserve">分，此项最高得</w:t>
            </w:r>
            <w:r>
              <w:rPr>
                <w:rFonts w:hint="eastAsia" w:ascii="宋体" w:hAnsi="宋体" w:cs="仿宋"/>
                <w:sz w:val="21"/>
                <w:szCs w:val="21"/>
                <w:lang w:val="en-US" w:eastAsia="zh-CN" w:bidi="en-US"/>
              </w:rPr>
              <w:t xml:space="preserve">6</w:t>
            </w:r>
            <w:r>
              <w:rPr>
                <w:rFonts w:hint="eastAsia" w:ascii="宋体" w:hAnsi="宋体" w:cs="仿宋"/>
                <w:sz w:val="21"/>
                <w:szCs w:val="21"/>
                <w:lang w:bidi="en-US"/>
              </w:rPr>
              <w:t xml:space="preserve">分；</w:t>
            </w:r>
            <w:r/>
          </w:p>
          <w:p>
            <w:pPr>
              <w:contextualSpacing/>
              <w:spacing w:line="440" w:lineRule="exact"/>
              <w:rPr>
                <w:rFonts w:hint="eastAsia" w:ascii="宋体" w:hAnsi="宋体" w:cs="仿宋"/>
                <w:b/>
                <w:bCs/>
                <w:sz w:val="21"/>
                <w:szCs w:val="21"/>
                <w:lang w:bidi="en-US"/>
              </w:rPr>
            </w:pPr>
            <w:r>
              <w:rPr>
                <w:rFonts w:hint="eastAsia" w:ascii="宋体" w:hAnsi="宋体" w:cs="仿宋"/>
                <w:sz w:val="21"/>
                <w:szCs w:val="21"/>
                <w:lang w:bidi="en-US"/>
              </w:rPr>
              <w:t xml:space="preserve">【</w:t>
            </w:r>
            <w:r>
              <w:rPr>
                <w:rFonts w:hint="eastAsia" w:ascii="宋体" w:hAnsi="宋体" w:cs="仿宋"/>
                <w:b/>
                <w:bCs/>
                <w:sz w:val="21"/>
                <w:szCs w:val="21"/>
                <w:lang w:bidi="en-US"/>
              </w:rPr>
              <w:t xml:space="preserve">业绩证明材料应提供能够明确反映供应商名称、签订时间、服务内容等详细信息的合同，须提供合同原件扫描件加盖供应商公章，未提供不得分</w:t>
            </w:r>
            <w:r>
              <w:rPr>
                <w:rFonts w:hint="eastAsia" w:ascii="宋体" w:hAnsi="宋体" w:cs="仿宋"/>
                <w:sz w:val="21"/>
                <w:szCs w:val="21"/>
                <w:lang w:bidi="en-US"/>
              </w:rPr>
              <w:t xml:space="preserve">】</w:t>
            </w:r>
            <w:bookmarkEnd w:id="220"/>
            <w:r/>
            <w:r/>
          </w:p>
        </w:tc>
      </w:tr>
    </w:tbl>
    <w:p>
      <w:r/>
      <w:r/>
    </w:p>
    <w:p>
      <w:r/>
      <w:r/>
    </w:p>
    <w:p>
      <w:r/>
      <w:r/>
    </w:p>
    <w:p>
      <w:pPr>
        <w:pStyle w:val="782"/>
        <w:rPr>
          <w:rFonts w:hint="eastAsia"/>
        </w:rPr>
      </w:pPr>
      <w:r>
        <w:rPr>
          <w:rFonts w:hint="eastAsia"/>
        </w:rPr>
      </w:r>
      <w:r>
        <w:rPr>
          <w:rFonts w:hint="eastAsia"/>
        </w:rPr>
      </w:r>
    </w:p>
    <w:p>
      <w:pPr>
        <w:pStyle w:val="782"/>
        <w:rPr>
          <w:rFonts w:hint="eastAsia"/>
        </w:rPr>
      </w:pPr>
      <w:r>
        <w:rPr>
          <w:rFonts w:hint="eastAsia"/>
        </w:rPr>
      </w:r>
      <w:r>
        <w:rPr>
          <w:rFonts w:hint="eastAsia"/>
        </w:rPr>
      </w:r>
    </w:p>
    <w:p>
      <w:pPr>
        <w:pStyle w:val="782"/>
        <w:rPr>
          <w:rFonts w:hint="eastAsia"/>
        </w:rPr>
      </w:pPr>
      <w:r>
        <w:rPr>
          <w:rFonts w:hint="eastAsia"/>
        </w:rPr>
      </w:r>
      <w:r>
        <w:rPr>
          <w:rFonts w:hint="eastAsia"/>
        </w:rPr>
      </w:r>
    </w:p>
    <w:p>
      <w:pPr>
        <w:pStyle w:val="78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82"/>
      </w:pPr>
      <w:r>
        <w:rPr>
          <w:rFonts w:hint="eastAsia"/>
        </w:rPr>
        <w:t xml:space="preserve">第六章 投标文件格式</w:t>
      </w:r>
      <w:bookmarkEnd w:id="212"/>
      <w:r/>
      <w:bookmarkEnd w:id="213"/>
      <w:r/>
      <w:bookmarkEnd w:id="214"/>
      <w:r/>
      <w:bookmarkEnd w:id="215"/>
      <w:r>
        <w:rPr>
          <w:rFonts w:hint="eastAsia"/>
        </w:rPr>
        <w:t xml:space="preserve"> </w:t>
      </w:r>
      <w:r/>
    </w:p>
    <w:p>
      <w:pPr>
        <w:rPr>
          <w:rFonts w:ascii="黑体" w:eastAsia="黑体"/>
          <w:bCs/>
          <w:sz w:val="44"/>
        </w:rPr>
      </w:pPr>
      <w:r>
        <w:rPr>
          <w:rFonts w:ascii="黑体" w:eastAsia="黑体"/>
          <w:bCs/>
          <w:sz w:val="44"/>
        </w:rPr>
      </w:r>
      <w:r/>
    </w:p>
    <w:p>
      <w:pPr>
        <w:pStyle w:val="784"/>
      </w:pPr>
      <w:r/>
      <w:r/>
    </w:p>
    <w:p>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bookmarkStart w:id="221" w:name="_Toc19261"/>
      <w:r/>
      <w:bookmarkStart w:id="222" w:name="_Toc20534"/>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bookmarkEnd w:id="221"/>
      <w:r/>
      <w:bookmarkEnd w:id="222"/>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六、商务条款响应及偏离表</w:t>
      </w:r>
      <w:r/>
    </w:p>
    <w:p>
      <w:pPr>
        <w:ind w:firstLine="480"/>
        <w:spacing w:line="360" w:lineRule="auto"/>
        <w:rPr>
          <w:sz w:val="36"/>
          <w:szCs w:val="36"/>
        </w:rPr>
      </w:pPr>
      <w:r>
        <w:rPr>
          <w:rFonts w:hint="eastAsia" w:ascii="宋体" w:hAnsi="宋体"/>
          <w:sz w:val="24"/>
        </w:rPr>
        <w:t xml:space="preserve">七、其他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spacing w:before="240" w:line="360" w:lineRule="auto"/>
        <w:rPr>
          <w:rFonts w:ascii="宋体" w:hAnsi="宋体"/>
          <w:b/>
          <w:sz w:val="32"/>
          <w:szCs w:val="32"/>
        </w:rPr>
      </w:pPr>
      <w:r>
        <w:rPr>
          <w:rFonts w:hint="eastAsia" w:ascii="宋体" w:hAnsi="宋体"/>
          <w:sz w:val="32"/>
          <w:szCs w:val="32"/>
        </w:rPr>
        <w:br w:type="page" w:clear="all"/>
      </w:r>
      <w:bookmarkStart w:id="223" w:name="_Toc138777689"/>
      <w:r>
        <w:rPr>
          <w:rFonts w:hint="eastAsia" w:ascii="宋体" w:hAnsi="宋体"/>
          <w:b/>
          <w:sz w:val="32"/>
          <w:szCs w:val="32"/>
        </w:rPr>
        <w:t xml:space="preserve">一、资格审查响应对照表</w:t>
      </w:r>
      <w:bookmarkEnd w:id="223"/>
      <w:r/>
      <w:r/>
    </w:p>
    <w:tbl>
      <w:tblPr>
        <w:tblStyle w:val="792"/>
        <w:tblW w:w="8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6460"/>
        <w:gridCol w:w="1241"/>
      </w:tblGrid>
      <w:tr>
        <w:trPr>
          <w:jc w:val="center"/>
          <w:trHeight w:val="1015"/>
        </w:trPr>
        <w:tc>
          <w:tcPr>
            <w:tcW w:w="63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6460"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1241"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jc w:val="center"/>
          <w:trHeight w:val="423"/>
        </w:trPr>
        <w:tc>
          <w:tcPr>
            <w:gridSpan w:val="3"/>
            <w:tcW w:w="8338"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jc w:val="center"/>
          <w:trHeight w:val="776"/>
        </w:trPr>
        <w:tc>
          <w:tcPr>
            <w:tcW w:w="637"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6460"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p>
        </w:tc>
        <w:tc>
          <w:tcPr>
            <w:tcW w:w="1241" w:type="dxa"/>
            <w:vAlign w:val="center"/>
            <w:textDirection w:val="lrTb"/>
            <w:noWrap w:val="false"/>
          </w:tcPr>
          <w:p>
            <w:pPr>
              <w:rPr>
                <w:rFonts w:ascii="宋体" w:hAnsi="宋体"/>
                <w:b/>
                <w:szCs w:val="21"/>
              </w:rPr>
            </w:pPr>
            <w:r>
              <w:rPr>
                <w:rFonts w:ascii="宋体" w:hAnsi="宋体"/>
                <w:b/>
                <w:szCs w:val="21"/>
              </w:rPr>
            </w:r>
            <w:r/>
          </w:p>
        </w:tc>
      </w:tr>
      <w:tr>
        <w:trPr>
          <w:jc w:val="center"/>
          <w:trHeight w:val="101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6460"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622"/>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6460" w:type="dxa"/>
            <w:vAlign w:val="center"/>
            <w:textDirection w:val="lrTb"/>
            <w:noWrap w:val="false"/>
          </w:tcPr>
          <w:p>
            <w:pPr>
              <w:spacing w:line="360" w:lineRule="auto"/>
              <w:rPr>
                <w:rFonts w:ascii="宋体" w:hAnsi="宋体"/>
                <w:b/>
                <w:bCs/>
                <w:iCs/>
                <w:szCs w:val="21"/>
              </w:rPr>
            </w:pPr>
            <w:r>
              <w:rPr>
                <w:rFonts w:hint="eastAsia" w:ascii="宋体" w:hAnsi="宋体" w:cs="宋体"/>
                <w:szCs w:val="21"/>
              </w:rPr>
              <w:t xml:space="preserve">供应商近三个月内任意一份依法纳税的缴款凭证</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24"/>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6460"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56"/>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6460"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844"/>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6460"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124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646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63"/>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6460"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供应商信用承诺函</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346"/>
        </w:trPr>
        <w:tc>
          <w:tcPr>
            <w:gridSpan w:val="3"/>
            <w:tcW w:w="8338"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1377"/>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6460" w:type="dxa"/>
            <w:vAlign w:val="center"/>
            <w:textDirection w:val="lrTb"/>
            <w:noWrap w:val="false"/>
          </w:tcPr>
          <w:p>
            <w:pPr>
              <w:jc w:val="left"/>
            </w:pPr>
            <w:r>
              <w:rPr>
                <w:rFonts w:hint="eastAsia"/>
              </w:rPr>
              <w:t xml:space="preserve">本项目专门面向中小企业采购；投标人须提供《中小企业声明函》，项目类型为</w:t>
            </w:r>
            <w:r>
              <w:rPr>
                <w:rFonts w:hint="eastAsia"/>
                <w:lang w:val="en-US" w:eastAsia="zh-CN"/>
              </w:rPr>
              <w:t xml:space="preserve">批发业</w:t>
            </w:r>
            <w:r>
              <w:rPr>
                <w:rFonts w:hint="eastAsia"/>
              </w:rPr>
              <w:t xml:space="preserve">。《中小企业声明函》不符合要求或未提供的，投标文件无效。</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13"/>
        </w:trPr>
        <w:tc>
          <w:tcPr>
            <w:gridSpan w:val="3"/>
            <w:tcW w:w="8338"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jc w:val="center"/>
          <w:trHeight w:val="489"/>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6460" w:type="dxa"/>
            <w:vAlign w:val="center"/>
            <w:textDirection w:val="lrTb"/>
            <w:noWrap w:val="false"/>
          </w:tcPr>
          <w:p>
            <w:pPr>
              <w:jc w:val="left"/>
              <w:spacing w:line="0" w:lineRule="atLeast"/>
              <w:rPr>
                <w:rFonts w:ascii="宋体" w:hAnsi="宋体" w:cs="宋体"/>
                <w:szCs w:val="21"/>
              </w:rPr>
            </w:pPr>
            <w:r>
              <w:rPr>
                <w:rFonts w:hint="eastAsia" w:ascii="宋体" w:hAnsi="宋体" w:cs="宋体"/>
                <w:szCs w:val="21"/>
              </w:rPr>
              <w:t xml:space="preserve">投标人具有有效的《食品经营许可证》或《食品生产许可证》</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03"/>
        </w:trPr>
        <w:tc>
          <w:tcPr>
            <w:gridSpan w:val="3"/>
            <w:tcW w:w="8338"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jc w:val="center"/>
          <w:trHeight w:val="503"/>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6460" w:type="dxa"/>
            <w:vAlign w:val="center"/>
            <w:textDirection w:val="lrTb"/>
            <w:noWrap w:val="false"/>
          </w:tcPr>
          <w:p>
            <w:pPr>
              <w:jc w:val="left"/>
              <w:rPr>
                <w:rFonts w:ascii="宋体" w:hAnsi="宋体"/>
                <w:iCs/>
                <w:szCs w:val="21"/>
              </w:rPr>
            </w:pPr>
            <w:r>
              <w:rPr>
                <w:rFonts w:hint="eastAsia" w:ascii="宋体" w:hAnsi="宋体"/>
                <w:iCs/>
                <w:szCs w:val="21"/>
              </w:rPr>
              <w:t xml:space="preserve">投标函</w:t>
            </w:r>
            <w:r/>
          </w:p>
        </w:tc>
        <w:tc>
          <w:tcPr>
            <w:tcW w:w="1241" w:type="dxa"/>
            <w:vAlign w:val="center"/>
            <w:textDirection w:val="lrTb"/>
            <w:noWrap w:val="false"/>
          </w:tcPr>
          <w:p>
            <w:pPr>
              <w:rPr>
                <w:rFonts w:ascii="宋体" w:hAnsi="宋体"/>
                <w:szCs w:val="21"/>
              </w:rPr>
            </w:pPr>
            <w:r>
              <w:rPr>
                <w:rFonts w:ascii="宋体" w:hAnsi="宋体"/>
                <w:szCs w:val="21"/>
              </w:rPr>
            </w:r>
            <w:r/>
          </w:p>
        </w:tc>
      </w:tr>
      <w:tr>
        <w:trPr>
          <w:jc w:val="center"/>
          <w:trHeight w:val="515"/>
        </w:trPr>
        <w:tc>
          <w:tcPr>
            <w:tcW w:w="637"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6460" w:type="dxa"/>
            <w:vAlign w:val="center"/>
            <w:textDirection w:val="lrTb"/>
            <w:noWrap w:val="false"/>
          </w:tcPr>
          <w:p>
            <w:pPr>
              <w:jc w:val="left"/>
              <w:rPr>
                <w:rFonts w:ascii="宋体" w:hAnsi="宋体"/>
                <w:iCs/>
                <w:szCs w:val="21"/>
              </w:rPr>
            </w:pPr>
            <w:r>
              <w:rPr>
                <w:rFonts w:hint="eastAsia" w:ascii="宋体" w:hAnsi="宋体"/>
                <w:iCs/>
                <w:szCs w:val="21"/>
              </w:rPr>
              <w:t xml:space="preserve">法人授权书</w:t>
            </w:r>
            <w:r/>
          </w:p>
        </w:tc>
        <w:tc>
          <w:tcPr>
            <w:tcW w:w="1241" w:type="dxa"/>
            <w:vAlign w:val="center"/>
            <w:textDirection w:val="lrTb"/>
            <w:noWrap w:val="false"/>
          </w:tcPr>
          <w:p>
            <w:pPr>
              <w:rPr>
                <w:rFonts w:ascii="宋体" w:hAnsi="宋体"/>
                <w:szCs w:val="21"/>
              </w:rPr>
            </w:pPr>
            <w:r>
              <w:rPr>
                <w:rFonts w:ascii="宋体" w:hAnsi="宋体"/>
                <w:szCs w:val="21"/>
              </w:rPr>
            </w:r>
            <w:r/>
          </w:p>
        </w:tc>
      </w:tr>
    </w:tbl>
    <w:p>
      <w:pPr>
        <w:ind w:firstLine="1476"/>
        <w:spacing w:before="120" w:after="120" w:line="360" w:lineRule="auto"/>
        <w:rPr>
          <w:rFonts w:ascii="宋体" w:hAnsi="宋体"/>
          <w:b/>
          <w:bCs/>
        </w:rPr>
      </w:pPr>
      <w:r>
        <w:rPr>
          <w:rFonts w:ascii="宋体" w:hAnsi="宋体"/>
          <w:b/>
          <w:bCs/>
        </w:rPr>
      </w:r>
      <w:r/>
    </w:p>
    <w:p>
      <w:pPr>
        <w:jc w:val="center"/>
        <w:spacing w:before="120" w:after="120" w:line="360" w:lineRule="auto"/>
        <w:rPr>
          <w:rFonts w:ascii="宋体" w:hAnsi="宋体"/>
          <w:b/>
          <w:bCs/>
        </w:rPr>
      </w:pPr>
      <w:r>
        <w:rPr>
          <w:rFonts w:ascii="宋体" w:hAnsi="宋体"/>
          <w:b/>
          <w:bCs/>
        </w:rPr>
      </w:r>
      <w:r/>
    </w:p>
    <w:p>
      <w:pPr>
        <w:jc w:val="center"/>
        <w:spacing w:before="120" w:after="120" w:line="360" w:lineRule="auto"/>
        <w:rPr>
          <w:rFonts w:ascii="宋体" w:hAnsi="宋体"/>
          <w:b/>
          <w:bCs/>
          <w:sz w:val="28"/>
          <w:szCs w:val="32"/>
        </w:rPr>
      </w:pPr>
      <w:r>
        <w:rPr>
          <w:rFonts w:hint="eastAsia" w:ascii="宋体" w:hAnsi="宋体"/>
          <w:b/>
          <w:bCs/>
          <w:sz w:val="24"/>
          <w:szCs w:val="28"/>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sz w:val="24"/>
          <w:szCs w:val="28"/>
        </w:rPr>
      </w:pPr>
      <w:r>
        <w:rPr>
          <w:rFonts w:hint="eastAsia" w:ascii="宋体" w:hAnsi="宋体"/>
          <w:b/>
          <w:bCs/>
          <w:sz w:val="24"/>
          <w:szCs w:val="28"/>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240"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            </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 w:val="24"/>
          <w:szCs w:val="24"/>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bookmarkStart w:id="224" w:name="_Toc7846"/>
      <w:r/>
      <w:bookmarkStart w:id="225" w:name="_Toc2091"/>
      <w:r>
        <w:rPr>
          <w:rFonts w:hint="eastAsia" w:ascii="宋体" w:hAnsi="宋体"/>
          <w:szCs w:val="21"/>
        </w:rPr>
        <w:t xml:space="preserve">七、严格遵守信用信息公示相关规定，向社会公示信用信息；</w:t>
      </w:r>
      <w:bookmarkEnd w:id="224"/>
      <w:r/>
      <w:bookmarkEnd w:id="225"/>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bookmarkStart w:id="226" w:name="_Toc9362"/>
      <w:r/>
      <w:bookmarkStart w:id="227" w:name="_Toc25411"/>
      <w:r>
        <w:rPr>
          <w:rFonts w:hint="eastAsia" w:ascii="宋体" w:hAnsi="宋体"/>
          <w:szCs w:val="21"/>
        </w:rPr>
        <w:t xml:space="preserve">十、本承诺书自签订之日起生效。</w:t>
      </w:r>
      <w:bookmarkEnd w:id="226"/>
      <w:r/>
      <w:bookmarkEnd w:id="227"/>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480" w:lineRule="exact"/>
        <w:rPr>
          <w:rFonts w:ascii="宋体" w:hAnsi="宋体"/>
          <w:szCs w:val="21"/>
        </w:rPr>
      </w:pPr>
      <w:r>
        <w:rPr>
          <w:rFonts w:ascii="宋体" w:hAnsi="宋体"/>
          <w:szCs w:val="21"/>
        </w:rPr>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cs="宋体"/>
          <w:szCs w:val="21"/>
        </w:rPr>
      </w:pPr>
      <w:r>
        <w:rPr>
          <w:rFonts w:hint="eastAsia" w:ascii="宋体" w:hAnsi="宋体"/>
          <w:szCs w:val="21"/>
        </w:rPr>
        <w:t xml:space="preserve">　　　　　　　　　      　          年    月    日</w:t>
      </w:r>
      <w:r/>
    </w:p>
    <w:p>
      <w:pP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sz w:val="24"/>
          <w:szCs w:val="28"/>
        </w:rPr>
      </w:pPr>
      <w:r>
        <w:rPr>
          <w:rFonts w:hint="eastAsia" w:ascii="宋体" w:hAnsi="宋体"/>
          <w:b/>
          <w:bCs/>
          <w:sz w:val="24"/>
          <w:szCs w:val="28"/>
        </w:rPr>
        <w:t xml:space="preserve">投标函格式</w:t>
      </w:r>
      <w:r/>
    </w:p>
    <w:p>
      <w:pPr>
        <w:pStyle w:val="1019"/>
        <w:ind w:firstLine="0"/>
        <w:spacing w:before="0" w:after="0"/>
        <w:rPr>
          <w:rFonts w:ascii="宋体" w:hAnsi="宋体"/>
          <w:sz w:val="21"/>
          <w:szCs w:val="21"/>
        </w:rPr>
      </w:pPr>
      <w:r>
        <w:rPr>
          <w:rFonts w:ascii="宋体" w:hAnsi="宋体"/>
          <w:sz w:val="21"/>
          <w:szCs w:val="21"/>
        </w:rPr>
      </w:r>
      <w:r/>
    </w:p>
    <w:p>
      <w:pPr>
        <w:pStyle w:val="1019"/>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扬州华泽工程项目管理咨询有限公司</w:t>
      </w:r>
      <w:r/>
    </w:p>
    <w:p>
      <w:pPr>
        <w:pStyle w:val="1019"/>
        <w:ind w:firstLine="420"/>
        <w:spacing w:before="0" w:after="0"/>
        <w:rPr>
          <w:rFonts w:ascii="宋体" w:hAnsi="宋体"/>
          <w:sz w:val="21"/>
          <w:szCs w:val="21"/>
        </w:rPr>
      </w:pPr>
      <w:r>
        <w:rPr>
          <w:rFonts w:hint="eastAsia" w:ascii="宋体" w:hAnsi="宋体"/>
          <w:sz w:val="21"/>
          <w:szCs w:val="21"/>
        </w:rPr>
        <w:t xml:space="preserve">根据贵方的（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1019"/>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19"/>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19"/>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19"/>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19"/>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19"/>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19"/>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19"/>
        <w:ind w:left="425" w:firstLine="105"/>
        <w:spacing w:before="0" w:after="0"/>
        <w:rPr>
          <w:rFonts w:ascii="宋体" w:hAnsi="宋体"/>
          <w:sz w:val="21"/>
          <w:szCs w:val="21"/>
        </w:rPr>
      </w:pPr>
      <w:r/>
      <w:bookmarkStart w:id="228" w:name="_Toc12872"/>
      <w:r/>
      <w:bookmarkStart w:id="229" w:name="_Toc5827"/>
      <w:r>
        <w:rPr>
          <w:rFonts w:hint="eastAsia" w:ascii="宋体" w:hAnsi="宋体"/>
          <w:sz w:val="21"/>
          <w:szCs w:val="21"/>
        </w:rPr>
        <w:t xml:space="preserve">7.与本投标有关的正式通讯地址为：</w:t>
      </w:r>
      <w:bookmarkEnd w:id="228"/>
      <w:r/>
      <w:bookmarkEnd w:id="229"/>
      <w:r/>
      <w:r/>
    </w:p>
    <w:p>
      <w:pPr>
        <w:pStyle w:val="1019"/>
        <w:ind w:firstLine="478"/>
        <w:spacing w:before="0" w:after="0"/>
        <w:rPr>
          <w:rFonts w:ascii="宋体" w:hAnsi="宋体"/>
          <w:sz w:val="21"/>
          <w:szCs w:val="21"/>
        </w:rPr>
      </w:pPr>
      <w:r>
        <w:rPr>
          <w:rFonts w:hint="eastAsia" w:ascii="宋体" w:hAnsi="宋体"/>
          <w:sz w:val="21"/>
          <w:szCs w:val="21"/>
        </w:rPr>
        <w:t xml:space="preserve">地 址：</w:t>
      </w:r>
      <w:r/>
    </w:p>
    <w:p>
      <w:pPr>
        <w:pStyle w:val="1019"/>
        <w:ind w:firstLine="478"/>
        <w:spacing w:before="0" w:after="0"/>
        <w:rPr>
          <w:rFonts w:ascii="宋体" w:hAnsi="宋体"/>
          <w:sz w:val="21"/>
          <w:szCs w:val="21"/>
        </w:rPr>
      </w:pPr>
      <w:r>
        <w:rPr>
          <w:rFonts w:hint="eastAsia" w:ascii="宋体" w:hAnsi="宋体"/>
          <w:sz w:val="21"/>
          <w:szCs w:val="21"/>
        </w:rPr>
        <w:t xml:space="preserve">邮 编：</w:t>
      </w:r>
      <w:r/>
    </w:p>
    <w:p>
      <w:pPr>
        <w:pStyle w:val="1019"/>
        <w:ind w:firstLine="478"/>
        <w:spacing w:before="0" w:after="0"/>
        <w:rPr>
          <w:rFonts w:ascii="宋体" w:hAnsi="宋体"/>
          <w:sz w:val="21"/>
          <w:szCs w:val="21"/>
        </w:rPr>
      </w:pPr>
      <w:r>
        <w:rPr>
          <w:rFonts w:hint="eastAsia" w:ascii="宋体" w:hAnsi="宋体"/>
          <w:sz w:val="21"/>
          <w:szCs w:val="21"/>
        </w:rPr>
        <w:t xml:space="preserve">电 话： </w:t>
      </w:r>
      <w:r/>
    </w:p>
    <w:p>
      <w:pPr>
        <w:pStyle w:val="1019"/>
        <w:ind w:firstLine="478"/>
        <w:spacing w:before="0" w:after="0"/>
        <w:rPr>
          <w:rFonts w:ascii="宋体" w:hAnsi="宋体"/>
          <w:sz w:val="21"/>
          <w:szCs w:val="21"/>
        </w:rPr>
      </w:pPr>
      <w:r>
        <w:rPr>
          <w:rFonts w:hint="eastAsia" w:ascii="宋体" w:hAnsi="宋体"/>
          <w:sz w:val="21"/>
          <w:szCs w:val="21"/>
        </w:rPr>
        <w:t xml:space="preserve">传 真： </w:t>
      </w:r>
      <w:r/>
    </w:p>
    <w:p>
      <w:pPr>
        <w:pStyle w:val="1019"/>
        <w:ind w:firstLine="478"/>
        <w:spacing w:before="0" w:after="0"/>
        <w:rPr>
          <w:rFonts w:ascii="宋体" w:hAnsi="宋体"/>
          <w:sz w:val="21"/>
          <w:szCs w:val="21"/>
        </w:rPr>
      </w:pPr>
      <w:r>
        <w:rPr>
          <w:rFonts w:hint="eastAsia" w:ascii="宋体" w:hAnsi="宋体"/>
          <w:sz w:val="21"/>
          <w:szCs w:val="21"/>
        </w:rPr>
        <w:t xml:space="preserve">投标人开户行：</w:t>
      </w:r>
      <w:r/>
    </w:p>
    <w:p>
      <w:pPr>
        <w:pStyle w:val="1019"/>
        <w:ind w:firstLine="478"/>
        <w:spacing w:before="0" w:after="0"/>
        <w:rPr>
          <w:rFonts w:ascii="宋体" w:hAnsi="宋体"/>
          <w:sz w:val="21"/>
          <w:szCs w:val="21"/>
        </w:rPr>
      </w:pPr>
      <w:r>
        <w:rPr>
          <w:rFonts w:hint="eastAsia" w:ascii="宋体" w:hAnsi="宋体"/>
          <w:sz w:val="21"/>
          <w:szCs w:val="21"/>
        </w:rPr>
        <w:t xml:space="preserve">账 户： </w:t>
      </w:r>
      <w:r/>
    </w:p>
    <w:p>
      <w:pPr>
        <w:pStyle w:val="1019"/>
        <w:ind w:firstLine="478"/>
        <w:spacing w:before="0" w:after="0"/>
        <w:rPr>
          <w:rFonts w:ascii="宋体" w:hAnsi="宋体"/>
          <w:sz w:val="21"/>
          <w:szCs w:val="21"/>
        </w:rPr>
      </w:pPr>
      <w:r>
        <w:rPr>
          <w:rFonts w:hint="eastAsia" w:ascii="宋体" w:hAnsi="宋体"/>
          <w:sz w:val="21"/>
          <w:szCs w:val="21"/>
        </w:rPr>
        <w:t xml:space="preserve">行 号：</w:t>
      </w:r>
      <w:r/>
    </w:p>
    <w:p>
      <w:pPr>
        <w:pStyle w:val="1019"/>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1020"/>
        <w:ind w:firstLine="422"/>
        <w:jc w:val="center"/>
        <w:spacing w:after="240" w:line="360" w:lineRule="auto"/>
        <w:rPr>
          <w:rFonts w:ascii="宋体" w:hAnsi="宋体"/>
          <w:b/>
          <w:sz w:val="24"/>
          <w:szCs w:val="24"/>
        </w:rPr>
      </w:pPr>
      <w:r/>
      <w:bookmarkStart w:id="230" w:name="_Toc1240"/>
      <w:r/>
      <w:bookmarkStart w:id="231" w:name="_Toc2791"/>
      <w:r>
        <w:rPr>
          <w:rFonts w:hint="eastAsia" w:ascii="宋体" w:hAnsi="宋体"/>
          <w:b/>
          <w:sz w:val="24"/>
          <w:szCs w:val="24"/>
        </w:rPr>
        <w:t xml:space="preserve">法人授权书</w:t>
      </w:r>
      <w:bookmarkEnd w:id="230"/>
      <w:r/>
      <w:bookmarkEnd w:id="231"/>
      <w:r/>
      <w:r/>
    </w:p>
    <w:p>
      <w:pPr>
        <w:pStyle w:val="102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  </w:t>
      </w:r>
      <w:r>
        <w:rPr>
          <w:rFonts w:hint="eastAsia" w:ascii="宋体" w:hAnsi="宋体"/>
          <w:sz w:val="21"/>
          <w:szCs w:val="21"/>
        </w:rPr>
        <w:t xml:space="preserve">号（项目名称）项目采购活动的合法代理人，以本公司名义全权处理一切与该项目采购有关的事务。</w:t>
      </w:r>
      <w:r/>
    </w:p>
    <w:p>
      <w:pPr>
        <w:pStyle w:val="102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20"/>
        <w:ind w:firstLine="0"/>
        <w:spacing w:line="360" w:lineRule="auto"/>
        <w:rPr>
          <w:rFonts w:ascii="宋体" w:hAnsi="宋体"/>
          <w:sz w:val="21"/>
          <w:szCs w:val="21"/>
        </w:rPr>
      </w:pPr>
      <w:r>
        <w:rPr>
          <w:rFonts w:ascii="宋体" w:hAnsi="宋体"/>
          <w:sz w:val="21"/>
          <w:szCs w:val="21"/>
        </w:rPr>
        <w:t xml:space="preserve">    </w:t>
      </w:r>
      <w:r/>
    </w:p>
    <w:p>
      <w:pPr>
        <w:pStyle w:val="1020"/>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20"/>
        <w:ind w:firstLine="420"/>
        <w:spacing w:line="360" w:lineRule="auto"/>
        <w:rPr>
          <w:rFonts w:ascii="宋体" w:hAnsi="宋体"/>
          <w:sz w:val="21"/>
          <w:szCs w:val="21"/>
        </w:rPr>
      </w:pPr>
      <w:r>
        <w:rPr>
          <w:rFonts w:hint="eastAsia" w:ascii="宋体" w:hAnsi="宋体"/>
          <w:sz w:val="21"/>
          <w:szCs w:val="21"/>
        </w:rPr>
        <w:t xml:space="preserve">  </w:t>
      </w:r>
      <w:r/>
    </w:p>
    <w:p>
      <w:pPr>
        <w:pStyle w:val="102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20"/>
        <w:ind w:firstLine="420"/>
        <w:spacing w:line="360" w:lineRule="auto"/>
        <w:rPr>
          <w:rFonts w:ascii="宋体" w:hAnsi="宋体"/>
          <w:sz w:val="21"/>
          <w:szCs w:val="21"/>
          <w:u w:val="single"/>
        </w:rPr>
      </w:pPr>
      <w:r>
        <w:rPr>
          <w:rFonts w:ascii="宋体" w:hAnsi="宋体"/>
          <w:sz w:val="21"/>
          <w:szCs w:val="21"/>
          <w:u w:val="single"/>
        </w:rPr>
      </w:r>
      <w:r/>
    </w:p>
    <w:p>
      <w:pPr>
        <w:pStyle w:val="1020"/>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020"/>
        <w:ind w:firstLine="420"/>
        <w:spacing w:line="360" w:lineRule="auto"/>
        <w:rPr>
          <w:rFonts w:ascii="宋体" w:hAnsi="宋体"/>
          <w:sz w:val="21"/>
          <w:szCs w:val="21"/>
        </w:rPr>
      </w:pPr>
      <w:r>
        <w:rPr>
          <w:rFonts w:ascii="宋体" w:hAnsi="宋体"/>
          <w:sz w:val="21"/>
          <w:szCs w:val="21"/>
        </w:rPr>
      </w:r>
      <w:r/>
    </w:p>
    <w:p>
      <w:pPr>
        <w:pStyle w:val="102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rPr>
          <w:rFonts w:hint="eastAsia"/>
          <w:sz w:val="21"/>
          <w:szCs w:val="21"/>
          <w:u w:val="single"/>
        </w:rPr>
        <w:t xml:space="preserve"> </w:t>
      </w:r>
      <w:r>
        <w:rPr>
          <w:sz w:val="21"/>
          <w:szCs w:val="21"/>
          <w:u w:val="single"/>
        </w:rPr>
        <w:t xml:space="preserve">    </w:t>
      </w:r>
      <w:r/>
    </w:p>
    <w:p>
      <w:pPr>
        <w:pStyle w:val="1020"/>
        <w:ind w:firstLine="420"/>
        <w:spacing w:line="360" w:lineRule="auto"/>
        <w:rPr>
          <w:sz w:val="21"/>
          <w:szCs w:val="21"/>
          <w:u w:val="single"/>
        </w:rPr>
      </w:pPr>
      <w:r>
        <w:rPr>
          <w:sz w:val="21"/>
          <w:szCs w:val="21"/>
          <w:u w:val="single"/>
        </w:rPr>
      </w:r>
      <w:r/>
    </w:p>
    <w:p>
      <w:pPr>
        <w:pStyle w:val="102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pPr>
      <w:r>
        <w:rPr>
          <w:rFonts w:hint="eastAsia" w:ascii="宋体" w:hAnsi="宋体"/>
          <w:bCs/>
        </w:rPr>
        <w:t xml:space="preserve">被授权人身份证复印件</w:t>
      </w:r>
      <w:r/>
    </w:p>
    <w:p>
      <w:pPr>
        <w:pStyle w:val="784"/>
        <w:rPr>
          <w:rFonts w:ascii="宋体" w:hAnsi="宋体"/>
        </w:rPr>
      </w:pPr>
      <w:r>
        <w:rPr>
          <w:rFonts w:ascii="宋体" w:hAnsi="宋体"/>
        </w:rPr>
      </w:r>
      <w:r/>
    </w:p>
    <w:p>
      <w:pPr>
        <w:rPr>
          <w:rFonts w:ascii="宋体" w:hAnsi="宋体"/>
          <w:bCs/>
        </w:rPr>
      </w:pPr>
      <w:r>
        <w:rPr>
          <w:rFonts w:ascii="宋体" w:hAnsi="宋体"/>
          <w:bCs/>
        </w:rPr>
      </w:r>
      <w:r/>
    </w:p>
    <w:p>
      <w:pPr>
        <w:pStyle w:val="784"/>
        <w:rPr>
          <w:rFonts w:ascii="宋体" w:hAnsi="宋体"/>
        </w:rPr>
      </w:pPr>
      <w:r>
        <w:rPr>
          <w:rFonts w:ascii="宋体" w:hAnsi="宋体"/>
        </w:rPr>
      </w:r>
      <w:r/>
    </w:p>
    <w:p>
      <w:pPr>
        <w:rPr>
          <w:rFonts w:ascii="宋体" w:hAnsi="宋体"/>
          <w:bCs/>
        </w:rPr>
      </w:pPr>
      <w:r>
        <w:rPr>
          <w:rFonts w:ascii="宋体" w:hAnsi="宋体"/>
          <w:bCs/>
        </w:rPr>
      </w:r>
      <w:r/>
    </w:p>
    <w:p>
      <w:pPr>
        <w:pStyle w:val="784"/>
        <w:rPr>
          <w:rFonts w:ascii="宋体" w:hAnsi="宋体"/>
        </w:rPr>
      </w:pPr>
      <w:r>
        <w:rPr>
          <w:rFonts w:ascii="宋体" w:hAnsi="宋体"/>
        </w:rPr>
      </w:r>
      <w:r/>
    </w:p>
    <w:p>
      <w:pPr>
        <w:rPr>
          <w:rFonts w:ascii="宋体" w:hAnsi="宋体"/>
          <w:bCs/>
        </w:rPr>
      </w:pPr>
      <w:r>
        <w:rPr>
          <w:rFonts w:ascii="宋体" w:hAnsi="宋体"/>
          <w:bCs/>
        </w:rPr>
      </w:r>
      <w:r/>
    </w:p>
    <w:p>
      <w:r/>
      <w:r/>
    </w:p>
    <w:p>
      <w:pPr>
        <w:rPr>
          <w:rFonts w:ascii="宋体" w:hAnsi="宋体"/>
          <w:bCs/>
        </w:rPr>
      </w:pPr>
      <w:r>
        <w:rPr>
          <w:rFonts w:ascii="宋体" w:hAnsi="宋体"/>
          <w:bCs/>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left"/>
        <w:tabs>
          <w:tab w:val="left" w:pos="1213" w:leader="none"/>
        </w:tabs>
        <w:sectPr>
          <w:headerReference w:type="default" r:id="rId11"/>
          <w:footerReference w:type="default" r:id="rId15"/>
          <w:footnotePr/>
          <w:endnotePr/>
          <w:type w:val="nextPage"/>
          <w:pgSz w:w="11906" w:h="16838" w:orient="portrait"/>
          <w:pgMar w:top="1440" w:right="1440" w:bottom="1440" w:left="1440" w:header="851" w:footer="850" w:gutter="0"/>
          <w:pgNumType w:start="1"/>
          <w:cols w:num="1" w:sep="0" w:space="1701" w:equalWidth="1"/>
          <w:docGrid w:linePitch="360"/>
        </w:sectPr>
      </w:pPr>
      <w:r/>
      <w:r/>
    </w:p>
    <w:p>
      <w:pPr>
        <w:jc w:val="center"/>
        <w:spacing w:before="240" w:line="360" w:lineRule="auto"/>
        <w:rPr>
          <w:rFonts w:ascii="宋体" w:hAnsi="宋体"/>
          <w:b/>
          <w:sz w:val="32"/>
          <w:szCs w:val="32"/>
        </w:rPr>
      </w:pPr>
      <w:r/>
      <w:bookmarkStart w:id="232" w:name="_Toc138777691"/>
      <w:r>
        <w:rPr>
          <w:rFonts w:hint="eastAsia" w:ascii="宋体" w:hAnsi="宋体"/>
          <w:b/>
          <w:sz w:val="32"/>
          <w:szCs w:val="32"/>
        </w:rPr>
        <w:t xml:space="preserve">二、符合性审查响应对照表</w:t>
      </w:r>
      <w:bookmarkEnd w:id="232"/>
      <w:r/>
      <w:r/>
    </w:p>
    <w:tbl>
      <w:tblPr>
        <w:tblStyle w:val="792"/>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21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747"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54"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216"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szCs w:val="21"/>
              </w:rPr>
            </w:pPr>
            <w:r>
              <w:rPr>
                <w:rFonts w:ascii="宋体" w:hAnsi="宋体"/>
                <w:b/>
                <w:szCs w:val="21"/>
              </w:rPr>
            </w:r>
            <w:r/>
          </w:p>
        </w:tc>
        <w:tc>
          <w:tcPr>
            <w:tcW w:w="1154"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6"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747" w:type="dxa"/>
            <w:vAlign w:val="center"/>
            <w:textDirection w:val="lrTb"/>
            <w:noWrap w:val="false"/>
          </w:tcPr>
          <w:p>
            <w:pPr>
              <w:rPr>
                <w:rFonts w:ascii="宋体" w:hAnsi="宋体"/>
                <w:szCs w:val="21"/>
              </w:rPr>
            </w:pPr>
            <w:r>
              <w:rPr>
                <w:rFonts w:ascii="宋体" w:hAnsi="宋体"/>
                <w:szCs w:val="21"/>
              </w:rPr>
            </w:r>
            <w:r/>
          </w:p>
        </w:tc>
        <w:tc>
          <w:tcPr>
            <w:tcW w:w="1154"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spacing w:before="240" w:line="360" w:lineRule="auto"/>
        <w:rPr>
          <w:rFonts w:ascii="宋体" w:hAnsi="宋体"/>
          <w:b/>
          <w:sz w:val="32"/>
          <w:szCs w:val="32"/>
        </w:rPr>
      </w:pPr>
      <w:r/>
      <w:bookmarkStart w:id="233" w:name="_Toc138777692"/>
      <w:r/>
      <w:r/>
    </w:p>
    <w:p>
      <w:pPr>
        <w:jc w:val="center"/>
        <w:spacing w:before="240" w:line="360" w:lineRule="auto"/>
        <w:rPr>
          <w:rFonts w:ascii="宋体" w:hAnsi="宋体"/>
          <w:b/>
          <w:sz w:val="32"/>
          <w:szCs w:val="32"/>
        </w:rPr>
      </w:pPr>
      <w:r>
        <w:rPr>
          <w:rFonts w:hint="eastAsia" w:ascii="宋体" w:hAnsi="宋体"/>
          <w:b/>
          <w:sz w:val="32"/>
          <w:szCs w:val="32"/>
        </w:rPr>
        <w:t xml:space="preserve">三、非实质性响应对照表</w:t>
      </w:r>
      <w:bookmarkEnd w:id="233"/>
      <w:r/>
      <w:r/>
    </w:p>
    <w:tbl>
      <w:tblPr>
        <w:tblStyle w:val="792"/>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jc w:val="center"/>
              <w:spacing w:line="0" w:lineRule="atLeast"/>
              <w:rPr>
                <w:rFonts w:ascii="宋体" w:hAnsi="宋体"/>
                <w:iCs/>
                <w:szCs w:val="21"/>
              </w:rPr>
            </w:pPr>
            <w:r>
              <w:rPr>
                <w:rFonts w:hint="eastAsia" w:ascii="宋体" w:hAnsi="宋体"/>
                <w:b/>
                <w:iCs/>
                <w:szCs w:val="21"/>
              </w:rPr>
              <w:t xml:space="preserve">中小企业声明函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jc w:val="center"/>
              <w:spacing w:line="0" w:lineRule="atLeast"/>
              <w:rPr>
                <w:rFonts w:ascii="宋体" w:hAnsi="宋体"/>
                <w:iCs/>
                <w:szCs w:val="21"/>
                <w:highlight w:val="none"/>
              </w:rPr>
            </w:pPr>
            <w:r>
              <w:rPr>
                <w:rFonts w:hint="eastAsia" w:ascii="宋体" w:hAnsi="宋体"/>
                <w:b/>
                <w:bCs/>
                <w:highlight w:val="none"/>
              </w:rPr>
              <w:t xml:space="preserve">残疾人福利性单位声明函</w:t>
            </w:r>
            <w:r/>
          </w:p>
        </w:tc>
        <w:tc>
          <w:tcPr>
            <w:tcW w:w="1680" w:type="dxa"/>
            <w:vAlign w:val="center"/>
            <w:textDirection w:val="lrTb"/>
            <w:noWrap w:val="false"/>
          </w:tcPr>
          <w:p>
            <w:pPr>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highlight w:val="yellow"/>
        </w:rPr>
      </w:pPr>
      <w:r>
        <w:rPr>
          <w:b/>
          <w:bCs/>
          <w:highlight w:val="yellow"/>
        </w:rPr>
      </w:r>
      <w:r/>
    </w:p>
    <w:p>
      <w:pPr>
        <w:jc w:val="center"/>
        <w:spacing w:before="312" w:after="312" w:line="360" w:lineRule="auto"/>
        <w:rPr>
          <w:b/>
          <w:bCs/>
        </w:rPr>
      </w:pPr>
      <w:r>
        <w:rPr>
          <w:b/>
          <w:bCs/>
        </w:rPr>
      </w:r>
      <w:r/>
    </w:p>
    <w:p>
      <w:pPr>
        <w:jc w:val="center"/>
        <w:rPr>
          <w:rFonts w:ascii="宋体" w:hAnsi="宋体"/>
          <w:b/>
          <w:bCs/>
          <w:sz w:val="24"/>
          <w:szCs w:val="24"/>
        </w:rPr>
      </w:pPr>
      <w:r/>
      <w:bookmarkStart w:id="234" w:name="_Toc138777693"/>
      <w:r>
        <w:rPr>
          <w:rFonts w:hint="eastAsia" w:ascii="宋体" w:hAnsi="宋体"/>
          <w:b/>
          <w:bCs/>
          <w:sz w:val="24"/>
          <w:szCs w:val="24"/>
        </w:rPr>
        <w:t xml:space="preserve">中小企业声明函（工程、服务）</w:t>
      </w:r>
      <w:r/>
    </w:p>
    <w:p>
      <w:pPr>
        <w:jc w:val="left"/>
        <w:rPr>
          <w:rFonts w:ascii="宋体" w:hAnsi="宋体"/>
          <w:sz w:val="24"/>
          <w:szCs w:val="24"/>
        </w:rPr>
      </w:pPr>
      <w:r>
        <w:rPr>
          <w:rFonts w:ascii="宋体" w:hAnsi="宋体"/>
          <w:sz w:val="24"/>
          <w:szCs w:val="24"/>
        </w:rPr>
      </w:r>
      <w:r/>
    </w:p>
    <w:p>
      <w:pPr>
        <w:ind w:firstLine="420"/>
        <w:jc w:val="left"/>
        <w:spacing w:line="360" w:lineRule="auto"/>
        <w:rPr>
          <w:rFonts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000000"/>
          <w:u w:val="single"/>
        </w:rPr>
      </w:pPr>
      <w:r>
        <w:rPr>
          <w:rFonts w:hint="eastAsia" w:ascii="宋体" w:hAnsi="宋体" w:cs="宋体"/>
          <w:color w:val="000000"/>
        </w:rPr>
        <w:t xml:space="preserve">1. </w:t>
      </w:r>
      <w:r>
        <w:rPr>
          <w:rFonts w:hint="eastAsia" w:ascii="宋体" w:hAnsi="宋体" w:cs="宋体"/>
          <w:color w:val="000000"/>
          <w:u w:val="single"/>
        </w:rPr>
        <w:t xml:space="preserve">（标的名称） </w:t>
      </w:r>
      <w:r>
        <w:rPr>
          <w:rFonts w:hint="eastAsia" w:ascii="宋体" w:hAnsi="宋体" w:cs="宋体"/>
          <w:color w:val="000000"/>
        </w:rPr>
        <w:t xml:space="preserve">，属于</w:t>
      </w:r>
      <w:r>
        <w:rPr>
          <w:rFonts w:hint="eastAsia" w:ascii="宋体" w:hAnsi="宋体" w:cs="宋体"/>
          <w:color w:val="000000"/>
          <w:u w:val="single"/>
        </w:rPr>
        <w:t xml:space="preserve">（</w:t>
      </w:r>
      <w:r>
        <w:rPr>
          <w:rFonts w:hint="eastAsia" w:ascii="宋体" w:hAnsi="宋体" w:cs="宋体"/>
          <w:color w:val="000000"/>
          <w:highlight w:val="yellow"/>
          <w:u w:val="single"/>
        </w:rPr>
        <w:t xml:space="preserve">该行业类别不可修改</w:t>
      </w:r>
      <w:r>
        <w:rPr>
          <w:rFonts w:hint="eastAsia" w:ascii="宋体" w:hAnsi="宋体" w:cs="宋体"/>
          <w:color w:val="000000"/>
          <w:u w:val="single"/>
        </w:rPr>
        <w:t xml:space="preserve">）</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fldChar w:fldCharType="begin"/>
      </w:r>
      <w:r>
        <w:instrText xml:space="preserve"> HYPERLINK \l "br1" </w:instrText>
      </w:r>
      <w:r>
        <w:fldChar w:fldCharType="separate"/>
      </w:r>
      <w:r>
        <w:rPr>
          <w:rFonts w:hint="eastAsia" w:ascii="宋体" w:hAnsi="宋体" w:cs="宋体"/>
          <w:color w:val="000000"/>
          <w:spacing w:val="-1"/>
          <w:vertAlign w:val="superscript"/>
        </w:rPr>
        <w:t xml:space="preserve">1</w:t>
      </w:r>
      <w:r>
        <w:rPr>
          <w:rFonts w:hint="eastAsia" w:ascii="宋体" w:hAnsi="宋体" w:cs="宋体"/>
          <w:color w:val="000000"/>
          <w:spacing w:val="-1"/>
          <w:vertAlign w:val="superscript"/>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p>
    <w:p>
      <w:pPr>
        <w:ind w:firstLine="420"/>
        <w:jc w:val="left"/>
        <w:spacing w:line="360" w:lineRule="auto"/>
        <w:rPr>
          <w:rFonts w:ascii="宋体" w:hAnsi="宋体" w:cs="宋体"/>
          <w:color w:val="000000"/>
          <w:u w:val="single"/>
        </w:rPr>
      </w:pPr>
      <w:r>
        <w:rPr>
          <w:rFonts w:hint="eastAsia"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 ，属于</w:t>
      </w:r>
      <w:r>
        <w:rPr>
          <w:rFonts w:hint="eastAsia" w:ascii="宋体" w:hAnsi="宋体" w:cs="宋体"/>
          <w:color w:val="000000"/>
          <w:u w:val="single"/>
        </w:rPr>
        <w:t xml:space="preserve">（</w:t>
      </w:r>
      <w:r>
        <w:rPr>
          <w:rFonts w:hint="eastAsia" w:ascii="宋体" w:hAnsi="宋体" w:cs="宋体"/>
          <w:color w:val="000000"/>
          <w:highlight w:val="yellow"/>
          <w:u w:val="single"/>
        </w:rPr>
        <w:t xml:space="preserve">该行业类别不可修改</w:t>
      </w:r>
      <w:r>
        <w:rPr>
          <w:rFonts w:hint="eastAsia" w:ascii="宋体" w:hAnsi="宋体" w:cs="宋体"/>
          <w:color w:val="000000"/>
          <w:u w:val="single"/>
        </w:rPr>
        <w:t xml:space="preserve">）</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p>
    <w:p>
      <w:pPr>
        <w:ind w:firstLine="420"/>
        <w:jc w:val="left"/>
        <w:spacing w:line="360" w:lineRule="auto"/>
        <w:rPr>
          <w:rFonts w:ascii="宋体" w:hAnsi="宋体" w:cs="宋体"/>
          <w:color w:val="000000"/>
        </w:rPr>
      </w:pPr>
      <w:r>
        <w:rPr>
          <w:rFonts w:hint="eastAsia" w:ascii="宋体" w:hAnsi="宋体" w:cs="宋体"/>
          <w:color w:val="000000"/>
        </w:rPr>
        <w:t xml:space="preserve">……</w:t>
      </w:r>
      <w:r/>
    </w:p>
    <w:p>
      <w:pPr>
        <w:ind w:firstLine="420"/>
        <w:jc w:val="left"/>
        <w:spacing w:line="360" w:lineRule="auto"/>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p>
    <w:p>
      <w:pPr>
        <w:spacing w:line="360" w:lineRule="auto"/>
        <w:rPr>
          <w:rFonts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000000"/>
        </w:rPr>
      </w:pPr>
      <w:r>
        <w:rPr>
          <w:rFonts w:hint="eastAsia" w:ascii="宋体" w:hAnsi="宋体" w:cs="宋体"/>
          <w:color w:val="000000"/>
        </w:rPr>
        <w:t xml:space="preserve">2、供应商如不提供此声明函，价格将不做相应扣除。</w:t>
      </w:r>
      <w:r/>
    </w:p>
    <w:p>
      <w:pPr>
        <w:spacing w:line="360" w:lineRule="auto"/>
        <w:rPr>
          <w:rFonts w:ascii="宋体" w:hAnsi="宋体" w:cs="宋体"/>
          <w:color w:val="000000"/>
        </w:rPr>
      </w:pPr>
      <w:r>
        <w:rPr>
          <w:rFonts w:hint="eastAsia" w:ascii="宋体" w:hAnsi="宋体" w:cs="宋体"/>
          <w:color w:val="000000"/>
        </w:rPr>
        <w:t xml:space="preserve">    3、企业声明函请完整填写，中标后将公示。</w:t>
      </w:r>
      <w:r/>
    </w:p>
    <w:p>
      <w:pPr>
        <w:ind w:firstLine="420"/>
        <w:jc w:val="left"/>
        <w:spacing w:line="360" w:lineRule="auto"/>
        <w:rPr>
          <w:rFonts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000000"/>
        </w:rPr>
      </w:pPr>
      <w:r>
        <w:rPr>
          <w:rFonts w:hint="eastAsia" w:ascii="宋体" w:hAnsi="宋体" w:cs="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000000"/>
        </w:rPr>
      </w:pPr>
      <w:r>
        <w:rPr>
          <w:rFonts w:hint="eastAsia" w:ascii="宋体" w:hAnsi="宋体" w:cs="宋体"/>
          <w:color w:val="000000"/>
        </w:rPr>
        <w:t xml:space="preserve">企业名称（盖章）：</w:t>
      </w:r>
      <w:r/>
    </w:p>
    <w:p>
      <w:pPr>
        <w:ind w:firstLine="4620"/>
        <w:jc w:val="left"/>
        <w:spacing w:line="360" w:lineRule="auto"/>
        <w:rPr>
          <w:rFonts w:ascii="宋体" w:hAnsi="宋体" w:cs="宋体"/>
          <w:color w:val="000000"/>
        </w:rPr>
      </w:pPr>
      <w:r>
        <w:rPr>
          <w:rFonts w:hint="eastAsia" w:ascii="宋体" w:hAnsi="宋体" w:cs="宋体"/>
          <w:color w:val="000000"/>
        </w:rPr>
        <w:t xml:space="preserve">日 期：</w:t>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ascii="宋体" w:hAnsi="宋体"/>
          <w:b/>
          <w:bCs/>
          <w:sz w:val="24"/>
          <w:szCs w:val="24"/>
        </w:rPr>
      </w:r>
      <w:r/>
    </w:p>
    <w:p>
      <w:pPr>
        <w:jc w:val="center"/>
        <w:rPr>
          <w:rFonts w:ascii="宋体" w:hAnsi="宋体"/>
          <w:b/>
          <w:bCs/>
          <w:sz w:val="24"/>
          <w:szCs w:val="24"/>
        </w:rPr>
      </w:pPr>
      <w:r>
        <w:rPr>
          <w:rFonts w:hint="eastAsia" w:ascii="宋体" w:hAnsi="宋体"/>
          <w:b/>
          <w:bCs/>
          <w:sz w:val="24"/>
          <w:szCs w:val="24"/>
        </w:rPr>
        <w:t xml:space="preserve">中小微企业划型标准</w:t>
      </w:r>
      <w:bookmarkEnd w:id="234"/>
      <w:r/>
      <w:r/>
    </w:p>
    <w:p>
      <w:pPr>
        <w:pStyle w:val="816"/>
        <w:ind w:firstLine="420"/>
        <w:spacing w:line="360" w:lineRule="auto"/>
        <w:widowControl/>
        <w:rPr>
          <w:rFonts w:ascii="宋体" w:hAnsi="宋体" w:cs="仿宋"/>
          <w:color w:val="666666"/>
          <w:sz w:val="21"/>
          <w:szCs w:val="21"/>
        </w:rPr>
      </w:pPr>
      <w:r>
        <w:rPr>
          <w:rFonts w:ascii="宋体" w:hAnsi="宋体" w:cs="仿宋"/>
          <w:color w:val="666666"/>
          <w:sz w:val="21"/>
          <w:szCs w:val="21"/>
        </w:rPr>
      </w:r>
      <w:r/>
    </w:p>
    <w:p>
      <w:pPr>
        <w:pStyle w:val="816"/>
        <w:ind w:firstLine="420"/>
        <w:spacing w:line="360" w:lineRule="auto"/>
        <w:widowControl/>
        <w:rPr>
          <w:rStyle w:val="820"/>
          <w:rFonts w:ascii="宋体" w:hAnsi="宋体" w:cs="仿宋"/>
          <w:color w:val="666666"/>
          <w:sz w:val="21"/>
          <w:szCs w:val="21"/>
        </w:rPr>
      </w:pPr>
      <w:r>
        <w:rPr>
          <w:rStyle w:val="820"/>
          <w:rFonts w:hint="eastAsia" w:ascii="宋体" w:hAnsi="宋体" w:cs="仿宋"/>
          <w:color w:val="666666"/>
          <w:sz w:val="21"/>
          <w:szCs w:val="21"/>
        </w:rPr>
        <w:t xml:space="preserve">中小微企业划型标准如下：</w:t>
      </w:r>
      <w:r/>
    </w:p>
    <w:tbl>
      <w:tblPr>
        <w:tblStyle w:val="792"/>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16"/>
              <w:jc w:val="center"/>
              <w:rPr>
                <w:rFonts w:ascii="宋体" w:hAnsi="宋体"/>
                <w:sz w:val="21"/>
              </w:rPr>
            </w:pPr>
            <w:r>
              <w:rPr>
                <w:rStyle w:val="820"/>
                <w:rFonts w:hint="eastAsia" w:ascii="宋体" w:hAnsi="宋体" w:cs="宋体"/>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jc w:val="center"/>
              <w:rPr>
                <w:rFonts w:ascii="宋体" w:hAnsi="宋体"/>
                <w:sz w:val="21"/>
              </w:rPr>
            </w:pPr>
            <w:r>
              <w:rPr>
                <w:rStyle w:val="820"/>
                <w:rFonts w:hint="eastAsia" w:ascii="宋体" w:hAnsi="宋体" w:cs="宋体"/>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jc w:val="center"/>
              <w:rPr>
                <w:rFonts w:ascii="宋体" w:hAnsi="宋体"/>
                <w:sz w:val="21"/>
              </w:rPr>
            </w:pPr>
            <w:r>
              <w:rPr>
                <w:rStyle w:val="820"/>
                <w:rFonts w:hint="eastAsia" w:ascii="宋体" w:hAnsi="宋体" w:cs="宋体"/>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宋体"/>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宋体"/>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16"/>
              <w:jc w:val="center"/>
              <w:rPr>
                <w:rFonts w:ascii="宋体" w:hAnsi="宋体"/>
                <w:sz w:val="21"/>
              </w:rPr>
            </w:pPr>
            <w:r>
              <w:rPr>
                <w:rStyle w:val="820"/>
                <w:rFonts w:hint="eastAsia" w:ascii="宋体" w:hAnsi="宋体" w:cs="宋体"/>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500≤Y</w:t>
            </w:r>
            <w:r>
              <w:rPr>
                <w:rStyle w:val="820"/>
                <w:rFonts w:hint="eastAsia" w:ascii="宋体" w:hAnsi="宋体" w:cs="宋体"/>
                <w:sz w:val="21"/>
              </w:rPr>
              <w:t xml:space="preserve">＜</w:t>
            </w:r>
            <w:r>
              <w:rPr>
                <w:rStyle w:val="820"/>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50≤Y</w:t>
            </w:r>
            <w:r>
              <w:rPr>
                <w:rStyle w:val="820"/>
                <w:rFonts w:hint="eastAsia" w:ascii="宋体" w:hAnsi="宋体" w:cs="宋体"/>
                <w:sz w:val="21"/>
              </w:rPr>
              <w:t xml:space="preserve">＜</w:t>
            </w:r>
            <w:r>
              <w:rPr>
                <w:rStyle w:val="820"/>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300≤X</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20≤X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2000≤Y</w:t>
            </w:r>
            <w:r>
              <w:rPr>
                <w:rStyle w:val="820"/>
                <w:rFonts w:hint="eastAsia" w:ascii="宋体" w:hAnsi="宋体" w:cs="宋体"/>
                <w:sz w:val="21"/>
              </w:rPr>
              <w:t xml:space="preserve">＜</w:t>
            </w:r>
            <w:r>
              <w:rPr>
                <w:rStyle w:val="820"/>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300≤Y</w:t>
            </w:r>
            <w:r>
              <w:rPr>
                <w:rStyle w:val="820"/>
                <w:rFonts w:hint="eastAsia" w:ascii="宋体" w:hAnsi="宋体" w:cs="宋体"/>
                <w:sz w:val="21"/>
              </w:rPr>
              <w:t xml:space="preserve">＜</w:t>
            </w:r>
            <w:r>
              <w:rPr>
                <w:rStyle w:val="820"/>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6000≤Y</w:t>
            </w:r>
            <w:r>
              <w:rPr>
                <w:rStyle w:val="820"/>
                <w:rFonts w:hint="eastAsia" w:ascii="宋体" w:hAnsi="宋体" w:cs="宋体"/>
                <w:sz w:val="21"/>
              </w:rPr>
              <w:t xml:space="preserve">＜</w:t>
            </w:r>
            <w:r>
              <w:rPr>
                <w:rStyle w:val="820"/>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300≤Y</w:t>
            </w:r>
            <w:r>
              <w:rPr>
                <w:rStyle w:val="820"/>
                <w:rFonts w:hint="eastAsia" w:ascii="宋体" w:hAnsi="宋体" w:cs="宋体"/>
                <w:sz w:val="21"/>
              </w:rPr>
              <w:t xml:space="preserve">＜</w:t>
            </w:r>
            <w:r>
              <w:rPr>
                <w:rStyle w:val="820"/>
                <w:rFonts w:hint="eastAsia" w:ascii="宋体" w:hAnsi="宋体" w:cs="仿宋"/>
                <w:sz w:val="21"/>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资产总额（</w:t>
            </w:r>
            <w:r>
              <w:rPr>
                <w:rStyle w:val="820"/>
                <w:rFonts w:hint="eastAsia" w:ascii="宋体" w:hAnsi="宋体" w:cs="仿宋"/>
                <w:sz w:val="21"/>
              </w:rPr>
              <w:t xml:space="preserve">Z</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5000≤Z</w:t>
            </w:r>
            <w:r>
              <w:rPr>
                <w:rStyle w:val="820"/>
                <w:rFonts w:hint="eastAsia" w:ascii="宋体" w:hAnsi="宋体" w:cs="宋体"/>
                <w:sz w:val="21"/>
              </w:rPr>
              <w:t xml:space="preserve">＜</w:t>
            </w:r>
            <w:r>
              <w:rPr>
                <w:rStyle w:val="820"/>
                <w:rFonts w:hint="eastAsia" w:ascii="宋体" w:hAnsi="宋体" w:cs="仿宋"/>
                <w:sz w:val="21"/>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300≤Z</w:t>
            </w:r>
            <w:r>
              <w:rPr>
                <w:rStyle w:val="820"/>
                <w:rFonts w:hint="eastAsia" w:ascii="宋体" w:hAnsi="宋体" w:cs="宋体"/>
                <w:sz w:val="21"/>
              </w:rPr>
              <w:t xml:space="preserve">＜</w:t>
            </w:r>
            <w:r>
              <w:rPr>
                <w:rStyle w:val="820"/>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Z</w:t>
            </w:r>
            <w:r>
              <w:rPr>
                <w:rStyle w:val="820"/>
                <w:rFonts w:hint="eastAsia" w:ascii="宋体" w:hAnsi="宋体" w:cs="宋体"/>
                <w:sz w:val="21"/>
              </w:rPr>
              <w:t xml:space="preserve">＜</w:t>
            </w:r>
            <w:r>
              <w:rPr>
                <w:rStyle w:val="820"/>
                <w:rFonts w:hint="eastAsia" w:ascii="宋体" w:hAnsi="宋体" w:cs="仿宋"/>
                <w:sz w:val="21"/>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20≤X</w:t>
            </w:r>
            <w:r>
              <w:rPr>
                <w:rStyle w:val="820"/>
                <w:rFonts w:hint="eastAsia" w:ascii="宋体" w:hAnsi="宋体" w:cs="宋体"/>
                <w:sz w:val="21"/>
              </w:rPr>
              <w:t xml:space="preserve">＜</w:t>
            </w:r>
            <w:r>
              <w:rPr>
                <w:rStyle w:val="820"/>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5≤X</w:t>
            </w:r>
            <w:r>
              <w:rPr>
                <w:rStyle w:val="820"/>
                <w:rFonts w:hint="eastAsia" w:ascii="宋体" w:hAnsi="宋体" w:cs="宋体"/>
                <w:sz w:val="21"/>
              </w:rPr>
              <w:t xml:space="preserve">＜</w:t>
            </w:r>
            <w:r>
              <w:rPr>
                <w:rStyle w:val="820"/>
                <w:rFonts w:hint="eastAsia" w:ascii="宋体" w:hAnsi="宋体" w:cs="仿宋"/>
                <w:sz w:val="21"/>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5000≤Y</w:t>
            </w:r>
            <w:r>
              <w:rPr>
                <w:rStyle w:val="820"/>
                <w:rFonts w:hint="eastAsia" w:ascii="宋体" w:hAnsi="宋体" w:cs="宋体"/>
                <w:sz w:val="21"/>
              </w:rPr>
              <w:t xml:space="preserve">＜</w:t>
            </w:r>
            <w:r>
              <w:rPr>
                <w:rStyle w:val="820"/>
                <w:rFonts w:hint="eastAsia" w:ascii="宋体" w:hAnsi="宋体" w:cs="仿宋"/>
                <w:sz w:val="21"/>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1000≤Y</w:t>
            </w:r>
            <w:r>
              <w:rPr>
                <w:rStyle w:val="820"/>
                <w:rFonts w:hint="eastAsia" w:ascii="宋体" w:hAnsi="宋体" w:cs="宋体"/>
                <w:sz w:val="21"/>
              </w:rPr>
              <w:t xml:space="preserve">＜</w:t>
            </w:r>
            <w:r>
              <w:rPr>
                <w:rStyle w:val="820"/>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50≤X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500≤Y</w:t>
            </w:r>
            <w:r>
              <w:rPr>
                <w:rStyle w:val="820"/>
                <w:rFonts w:hint="eastAsia" w:ascii="宋体" w:hAnsi="宋体" w:cs="宋体"/>
                <w:sz w:val="21"/>
              </w:rPr>
              <w:t xml:space="preserve">＜</w:t>
            </w:r>
            <w:r>
              <w:rPr>
                <w:rStyle w:val="820"/>
                <w:rFonts w:hint="eastAsia" w:ascii="宋体" w:hAnsi="宋体" w:cs="仿宋"/>
                <w:sz w:val="21"/>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100≤Y</w:t>
            </w:r>
            <w:r>
              <w:rPr>
                <w:rStyle w:val="820"/>
                <w:rFonts w:hint="eastAsia" w:ascii="宋体" w:hAnsi="宋体" w:cs="宋体"/>
                <w:sz w:val="21"/>
              </w:rPr>
              <w:t xml:space="preserve">＜</w:t>
            </w:r>
            <w:r>
              <w:rPr>
                <w:rStyle w:val="820"/>
                <w:rFonts w:hint="eastAsia" w:ascii="宋体" w:hAnsi="宋体" w:cs="仿宋"/>
                <w:sz w:val="21"/>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300≤X</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20≤X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3000≤Y</w:t>
            </w:r>
            <w:r>
              <w:rPr>
                <w:rStyle w:val="820"/>
                <w:rFonts w:hint="eastAsia" w:ascii="宋体" w:hAnsi="宋体" w:cs="宋体"/>
                <w:sz w:val="21"/>
              </w:rPr>
              <w:t xml:space="preserve">＜</w:t>
            </w:r>
            <w:r>
              <w:rPr>
                <w:rStyle w:val="820"/>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200≤Y</w:t>
            </w:r>
            <w:r>
              <w:rPr>
                <w:rStyle w:val="820"/>
                <w:rFonts w:hint="eastAsia" w:ascii="宋体" w:hAnsi="宋体" w:cs="宋体"/>
                <w:sz w:val="21"/>
              </w:rPr>
              <w:t xml:space="preserve">＜</w:t>
            </w:r>
            <w:r>
              <w:rPr>
                <w:rStyle w:val="820"/>
                <w:rFonts w:hint="eastAsia" w:ascii="宋体" w:hAnsi="宋体" w:cs="仿宋"/>
                <w:sz w:val="21"/>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20≤X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1000≤Y</w:t>
            </w:r>
            <w:r>
              <w:rPr>
                <w:rStyle w:val="820"/>
                <w:rFonts w:hint="eastAsia" w:ascii="宋体" w:hAnsi="宋体" w:cs="宋体"/>
                <w:sz w:val="21"/>
              </w:rPr>
              <w:t xml:space="preserve">＜</w:t>
            </w:r>
            <w:r>
              <w:rPr>
                <w:rStyle w:val="820"/>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100≤Y</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300≤X</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20≤X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2000≤Y</w:t>
            </w:r>
            <w:r>
              <w:rPr>
                <w:rStyle w:val="820"/>
                <w:rFonts w:hint="eastAsia" w:ascii="宋体" w:hAnsi="宋体" w:cs="宋体"/>
                <w:sz w:val="21"/>
              </w:rPr>
              <w:t xml:space="preserve">＜</w:t>
            </w:r>
            <w:r>
              <w:rPr>
                <w:rStyle w:val="820"/>
                <w:rFonts w:hint="eastAsia" w:ascii="宋体" w:hAnsi="宋体" w:cs="仿宋"/>
                <w:sz w:val="21"/>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100≤Y</w:t>
            </w:r>
            <w:r>
              <w:rPr>
                <w:rStyle w:val="820"/>
                <w:rFonts w:hint="eastAsia" w:ascii="宋体" w:hAnsi="宋体" w:cs="宋体"/>
                <w:sz w:val="21"/>
              </w:rPr>
              <w:t xml:space="preserve">＜</w:t>
            </w:r>
            <w:r>
              <w:rPr>
                <w:rStyle w:val="820"/>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2000≤Y</w:t>
            </w:r>
            <w:r>
              <w:rPr>
                <w:rStyle w:val="820"/>
                <w:rFonts w:hint="eastAsia" w:ascii="宋体" w:hAnsi="宋体" w:cs="宋体"/>
                <w:sz w:val="21"/>
              </w:rPr>
              <w:t xml:space="preserve">＜</w:t>
            </w:r>
            <w:r>
              <w:rPr>
                <w:rStyle w:val="820"/>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100≤Y</w:t>
            </w:r>
            <w:r>
              <w:rPr>
                <w:rStyle w:val="820"/>
                <w:rFonts w:hint="eastAsia" w:ascii="宋体" w:hAnsi="宋体" w:cs="宋体"/>
                <w:sz w:val="21"/>
              </w:rPr>
              <w:t xml:space="preserve">＜</w:t>
            </w:r>
            <w:r>
              <w:rPr>
                <w:rStyle w:val="820"/>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2000≤Y</w:t>
            </w:r>
            <w:r>
              <w:rPr>
                <w:rStyle w:val="820"/>
                <w:rFonts w:hint="eastAsia" w:ascii="宋体" w:hAnsi="宋体" w:cs="宋体"/>
                <w:sz w:val="21"/>
              </w:rPr>
              <w:t xml:space="preserve">＜</w:t>
            </w:r>
            <w:r>
              <w:rPr>
                <w:rStyle w:val="820"/>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100≤Y</w:t>
            </w:r>
            <w:r>
              <w:rPr>
                <w:rStyle w:val="820"/>
                <w:rFonts w:hint="eastAsia" w:ascii="宋体" w:hAnsi="宋体" w:cs="宋体"/>
                <w:sz w:val="21"/>
              </w:rPr>
              <w:t xml:space="preserve">＜</w:t>
            </w:r>
            <w:r>
              <w:rPr>
                <w:rStyle w:val="820"/>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1000≤Y</w:t>
            </w:r>
            <w:r>
              <w:rPr>
                <w:rStyle w:val="820"/>
                <w:rFonts w:hint="eastAsia" w:ascii="宋体" w:hAnsi="宋体" w:cs="宋体"/>
                <w:sz w:val="21"/>
              </w:rPr>
              <w:t xml:space="preserve">＜</w:t>
            </w:r>
            <w:r>
              <w:rPr>
                <w:rStyle w:val="820"/>
                <w:rFonts w:hint="eastAsia" w:ascii="宋体" w:hAnsi="宋体" w:cs="仿宋"/>
                <w:sz w:val="21"/>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100≤Y</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1000≤Y</w:t>
            </w:r>
            <w:r>
              <w:rPr>
                <w:rStyle w:val="820"/>
                <w:rFonts w:hint="eastAsia" w:ascii="宋体" w:hAnsi="宋体" w:cs="宋体"/>
                <w:sz w:val="21"/>
              </w:rPr>
              <w:t xml:space="preserve">＜</w:t>
            </w:r>
            <w:r>
              <w:rPr>
                <w:rStyle w:val="820"/>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50≤Y</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1000≤Y</w:t>
            </w:r>
            <w:r>
              <w:rPr>
                <w:rStyle w:val="820"/>
                <w:rFonts w:hint="eastAsia" w:ascii="宋体" w:hAnsi="宋体" w:cs="宋体"/>
                <w:sz w:val="21"/>
              </w:rPr>
              <w:t xml:space="preserve">＜</w:t>
            </w:r>
            <w:r>
              <w:rPr>
                <w:rStyle w:val="820"/>
                <w:rFonts w:hint="eastAsia" w:ascii="宋体" w:hAnsi="宋体" w:cs="仿宋"/>
                <w:sz w:val="21"/>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资产总额（</w:t>
            </w:r>
            <w:r>
              <w:rPr>
                <w:rStyle w:val="820"/>
                <w:rFonts w:hint="eastAsia" w:ascii="宋体" w:hAnsi="宋体" w:cs="仿宋"/>
                <w:sz w:val="21"/>
              </w:rPr>
              <w:t xml:space="preserve">Z</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5000≤Z</w:t>
            </w:r>
            <w:r>
              <w:rPr>
                <w:rStyle w:val="820"/>
                <w:rFonts w:hint="eastAsia" w:ascii="宋体" w:hAnsi="宋体" w:cs="宋体"/>
                <w:sz w:val="21"/>
              </w:rPr>
              <w:t xml:space="preserve">＜</w:t>
            </w:r>
            <w:r>
              <w:rPr>
                <w:rStyle w:val="820"/>
                <w:rFonts w:hint="eastAsia" w:ascii="宋体" w:hAnsi="宋体" w:cs="仿宋"/>
                <w:sz w:val="21"/>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2000≤Y</w:t>
            </w:r>
            <w:r>
              <w:rPr>
                <w:rStyle w:val="820"/>
                <w:rFonts w:hint="eastAsia" w:ascii="宋体" w:hAnsi="宋体" w:cs="宋体"/>
                <w:sz w:val="21"/>
              </w:rPr>
              <w:t xml:space="preserve">＜</w:t>
            </w:r>
            <w:r>
              <w:rPr>
                <w:rStyle w:val="820"/>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300≤X</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营业收入（</w:t>
            </w:r>
            <w:r>
              <w:rPr>
                <w:rStyle w:val="820"/>
                <w:rFonts w:hint="eastAsia" w:ascii="宋体" w:hAnsi="宋体" w:cs="仿宋"/>
                <w:sz w:val="21"/>
              </w:rPr>
              <w:t xml:space="preserve">Y</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1000≤Y</w:t>
            </w:r>
            <w:r>
              <w:rPr>
                <w:rStyle w:val="820"/>
                <w:rFonts w:hint="eastAsia" w:ascii="宋体" w:hAnsi="宋体" w:cs="宋体"/>
                <w:sz w:val="21"/>
              </w:rPr>
              <w:t xml:space="preserve">＜</w:t>
            </w:r>
            <w:r>
              <w:rPr>
                <w:rStyle w:val="820"/>
                <w:rFonts w:hint="eastAsia" w:ascii="宋体" w:hAnsi="宋体" w:cs="仿宋"/>
                <w:sz w:val="21"/>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500≤Y</w:t>
            </w:r>
            <w:r>
              <w:rPr>
                <w:rStyle w:val="820"/>
                <w:rFonts w:hint="eastAsia" w:ascii="宋体" w:hAnsi="宋体" w:cs="宋体"/>
                <w:sz w:val="21"/>
              </w:rPr>
              <w:t xml:space="preserve">＜</w:t>
            </w:r>
            <w:r>
              <w:rPr>
                <w:rStyle w:val="820"/>
                <w:rFonts w:hint="eastAsia" w:ascii="宋体" w:hAnsi="宋体" w:cs="仿宋"/>
                <w:sz w:val="21"/>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816"/>
              <w:jc w:val="center"/>
              <w:rPr>
                <w:rFonts w:ascii="宋体" w:hAnsi="宋体"/>
                <w:sz w:val="21"/>
              </w:rPr>
            </w:pPr>
            <w:r>
              <w:rPr>
                <w:rStyle w:val="820"/>
                <w:rFonts w:hint="eastAsia" w:ascii="宋体" w:hAnsi="宋体" w:cs="宋体"/>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资产总额（</w:t>
            </w:r>
            <w:r>
              <w:rPr>
                <w:rStyle w:val="820"/>
                <w:rFonts w:hint="eastAsia" w:ascii="宋体" w:hAnsi="宋体" w:cs="仿宋"/>
                <w:sz w:val="21"/>
              </w:rPr>
              <w:t xml:space="preserve">Z</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8000≤Z</w:t>
            </w:r>
            <w:r>
              <w:rPr>
                <w:rStyle w:val="820"/>
                <w:rFonts w:hint="eastAsia" w:ascii="宋体" w:hAnsi="宋体" w:cs="宋体"/>
                <w:sz w:val="21"/>
              </w:rPr>
              <w:t xml:space="preserve">＜</w:t>
            </w:r>
            <w:r>
              <w:rPr>
                <w:rStyle w:val="820"/>
                <w:rFonts w:hint="eastAsia" w:ascii="宋体" w:hAnsi="宋体" w:cs="仿宋"/>
                <w:sz w:val="21"/>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100≤Z</w:t>
            </w:r>
            <w:r>
              <w:rPr>
                <w:rStyle w:val="820"/>
                <w:rFonts w:hint="eastAsia" w:ascii="宋体" w:hAnsi="宋体" w:cs="宋体"/>
                <w:sz w:val="21"/>
              </w:rPr>
              <w:t xml:space="preserve">＜</w:t>
            </w:r>
            <w:r>
              <w:rPr>
                <w:rStyle w:val="820"/>
                <w:rFonts w:hint="eastAsia" w:ascii="宋体" w:hAnsi="宋体" w:cs="仿宋"/>
                <w:sz w:val="21"/>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Y</w:t>
            </w:r>
            <w:r>
              <w:rPr>
                <w:rStyle w:val="820"/>
                <w:rFonts w:hint="eastAsia" w:ascii="宋体" w:hAnsi="宋体" w:cs="宋体"/>
                <w:sz w:val="21"/>
              </w:rPr>
              <w:t xml:space="preserve">＜</w:t>
            </w:r>
            <w:r>
              <w:rPr>
                <w:rStyle w:val="820"/>
                <w:rFonts w:hint="eastAsia" w:ascii="宋体" w:hAnsi="宋体" w:cs="仿宋"/>
                <w:sz w:val="21"/>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816"/>
              <w:jc w:val="center"/>
              <w:rPr>
                <w:rFonts w:ascii="宋体" w:hAnsi="宋体"/>
                <w:sz w:val="21"/>
              </w:rPr>
            </w:pPr>
            <w:r>
              <w:rPr>
                <w:rStyle w:val="820"/>
                <w:rFonts w:hint="eastAsia" w:ascii="宋体" w:hAnsi="宋体" w:cs="宋体"/>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816"/>
              <w:rPr>
                <w:rFonts w:ascii="宋体" w:hAnsi="宋体"/>
                <w:sz w:val="21"/>
              </w:rPr>
            </w:pPr>
            <w:r>
              <w:rPr>
                <w:rStyle w:val="820"/>
                <w:rFonts w:hint="eastAsia" w:ascii="宋体" w:hAnsi="宋体" w:cs="宋体"/>
                <w:sz w:val="21"/>
              </w:rPr>
              <w:t xml:space="preserve">从业人员（</w:t>
            </w:r>
            <w:r>
              <w:rPr>
                <w:rStyle w:val="820"/>
                <w:rFonts w:hint="eastAsia" w:ascii="宋体" w:hAnsi="宋体" w:cs="仿宋"/>
                <w:sz w:val="21"/>
              </w:rPr>
              <w:t xml:space="preserve">X</w:t>
            </w:r>
            <w:r>
              <w:rPr>
                <w:rStyle w:val="820"/>
                <w:rFonts w:hint="eastAsia" w:ascii="宋体" w:hAnsi="宋体" w:cs="宋体"/>
                <w:sz w:val="21"/>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6"/>
              <w:rPr>
                <w:rFonts w:ascii="宋体" w:hAnsi="宋体"/>
                <w:sz w:val="21"/>
              </w:rPr>
            </w:pPr>
            <w:r>
              <w:rPr>
                <w:rStyle w:val="820"/>
                <w:rFonts w:hint="eastAsia" w:ascii="宋体" w:hAnsi="宋体" w:cs="宋体"/>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816"/>
              <w:rPr>
                <w:rFonts w:ascii="宋体" w:hAnsi="宋体"/>
                <w:sz w:val="21"/>
              </w:rPr>
            </w:pPr>
            <w:r>
              <w:rPr>
                <w:rStyle w:val="820"/>
                <w:rFonts w:hint="eastAsia" w:ascii="宋体" w:hAnsi="宋体" w:cs="仿宋"/>
                <w:sz w:val="21"/>
              </w:rPr>
              <w:t xml:space="preserve">100≤X</w:t>
            </w:r>
            <w:r>
              <w:rPr>
                <w:rStyle w:val="820"/>
                <w:rFonts w:hint="eastAsia" w:ascii="宋体" w:hAnsi="宋体" w:cs="宋体"/>
                <w:sz w:val="21"/>
              </w:rPr>
              <w:t xml:space="preserve">＜</w:t>
            </w:r>
            <w:r>
              <w:rPr>
                <w:rStyle w:val="820"/>
                <w:rFonts w:hint="eastAsia" w:ascii="宋体" w:hAnsi="宋体" w:cs="仿宋"/>
                <w:sz w:val="21"/>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816"/>
              <w:jc w:val="center"/>
              <w:rPr>
                <w:rFonts w:ascii="宋体" w:hAnsi="宋体"/>
                <w:sz w:val="21"/>
              </w:rPr>
            </w:pPr>
            <w:r>
              <w:rPr>
                <w:rStyle w:val="820"/>
                <w:rFonts w:hint="eastAsia" w:ascii="宋体" w:hAnsi="宋体" w:cs="仿宋"/>
                <w:sz w:val="21"/>
              </w:rPr>
              <w:t xml:space="preserve">10≤X</w:t>
            </w:r>
            <w:r>
              <w:rPr>
                <w:rStyle w:val="820"/>
                <w:rFonts w:hint="eastAsia" w:ascii="宋体" w:hAnsi="宋体" w:cs="宋体"/>
                <w:sz w:val="21"/>
              </w:rPr>
              <w:t xml:space="preserve">＜</w:t>
            </w:r>
            <w:r>
              <w:rPr>
                <w:rStyle w:val="820"/>
                <w:rFonts w:hint="eastAsia" w:ascii="宋体" w:hAnsi="宋体" w:cs="仿宋"/>
                <w:sz w:val="21"/>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16"/>
              <w:rPr>
                <w:rFonts w:ascii="宋体" w:hAnsi="宋体"/>
                <w:sz w:val="21"/>
              </w:rPr>
            </w:pPr>
            <w:r>
              <w:rPr>
                <w:rStyle w:val="820"/>
                <w:rFonts w:hint="eastAsia" w:ascii="宋体" w:hAnsi="宋体" w:cs="仿宋"/>
                <w:sz w:val="21"/>
              </w:rPr>
              <w:t xml:space="preserve">X</w:t>
            </w:r>
            <w:r>
              <w:rPr>
                <w:rStyle w:val="820"/>
                <w:rFonts w:hint="eastAsia" w:ascii="宋体" w:hAnsi="宋体" w:cs="宋体"/>
                <w:sz w:val="21"/>
              </w:rPr>
              <w:t xml:space="preserve">＜</w:t>
            </w:r>
            <w:r>
              <w:rPr>
                <w:rStyle w:val="820"/>
                <w:rFonts w:hint="eastAsia" w:ascii="宋体" w:hAnsi="宋体" w:cs="仿宋"/>
                <w:sz w:val="21"/>
              </w:rPr>
              <w:t xml:space="preserve">10</w:t>
            </w:r>
            <w:r/>
          </w:p>
        </w:tc>
      </w:tr>
    </w:tbl>
    <w:p>
      <w:pPr>
        <w:pStyle w:val="816"/>
        <w:ind w:firstLine="422"/>
        <w:spacing w:before="300" w:after="452" w:line="360" w:lineRule="auto"/>
        <w:widowControl/>
        <w:rPr>
          <w:rStyle w:val="820"/>
          <w:rFonts w:ascii="宋体" w:hAnsi="宋体" w:cs="仿宋"/>
          <w:color w:val="666666"/>
          <w:sz w:val="21"/>
          <w:szCs w:val="21"/>
        </w:rPr>
      </w:pPr>
      <w:r>
        <w:rPr>
          <w:rStyle w:val="820"/>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16"/>
        <w:ind w:firstLine="422"/>
        <w:spacing w:before="300" w:after="452" w:line="360" w:lineRule="auto"/>
        <w:widowControl/>
        <w:rPr>
          <w:rStyle w:val="820"/>
          <w:rFonts w:cs="仿宋"/>
          <w:color w:val="666666"/>
          <w:sz w:val="21"/>
          <w:szCs w:val="21"/>
        </w:rPr>
      </w:pPr>
      <w:r>
        <w:rPr>
          <w:rStyle w:val="820"/>
          <w:rFonts w:ascii="宋体" w:hAnsi="宋体" w:cs="仿宋"/>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ascii="宋体" w:hAnsi="宋体"/>
          <w:sz w:val="32"/>
          <w:szCs w:val="32"/>
        </w:rPr>
      </w:r>
      <w:r/>
    </w:p>
    <w:p>
      <w:pPr>
        <w:jc w:val="center"/>
        <w:spacing w:before="240" w:line="360" w:lineRule="auto"/>
        <w:rPr>
          <w:rFonts w:ascii="宋体" w:hAnsi="宋体"/>
          <w:b/>
          <w:sz w:val="32"/>
          <w:szCs w:val="32"/>
        </w:rPr>
      </w:pPr>
      <w:r/>
      <w:bookmarkStart w:id="235" w:name="_Toc138777694"/>
      <w:r/>
      <w:bookmarkEnd w:id="235"/>
      <w:r/>
      <w:r/>
    </w:p>
    <w:p>
      <w:pPr>
        <w:jc w:val="center"/>
        <w:spacing w:before="240" w:line="360" w:lineRule="auto"/>
        <w:rPr>
          <w:rFonts w:ascii="宋体" w:hAnsi="宋体"/>
          <w:b/>
          <w:sz w:val="32"/>
          <w:szCs w:val="32"/>
        </w:rPr>
      </w:pPr>
      <w:r>
        <w:rPr>
          <w:rFonts w:ascii="宋体" w:hAnsi="宋体"/>
          <w:b/>
          <w:sz w:val="32"/>
          <w:szCs w:val="32"/>
        </w:rPr>
      </w:r>
      <w:r/>
    </w:p>
    <w:p>
      <w:pPr>
        <w:jc w:val="center"/>
        <w:rPr>
          <w:rFonts w:ascii="宋体" w:hAnsi="宋体"/>
          <w:b/>
          <w:bCs/>
          <w:sz w:val="32"/>
          <w:szCs w:val="32"/>
        </w:rPr>
      </w:pPr>
      <w:r/>
      <w:bookmarkStart w:id="236" w:name="_Toc138777695"/>
      <w:r>
        <w:rPr>
          <w:rFonts w:hint="eastAsia" w:ascii="宋体" w:hAnsi="宋体"/>
          <w:b/>
          <w:sz w:val="32"/>
          <w:szCs w:val="32"/>
        </w:rPr>
        <w:t xml:space="preserve">四、开标一览表</w:t>
      </w:r>
      <w:r/>
    </w:p>
    <w:p>
      <w:pPr>
        <w:ind w:firstLine="480"/>
        <w:spacing w:line="360" w:lineRule="auto"/>
        <w:rPr>
          <w:rFonts w:hint="eastAsia" w:ascii="宋体" w:hAnsi="宋体"/>
          <w:szCs w:val="21"/>
        </w:rPr>
      </w:pPr>
      <w:r>
        <w:rPr>
          <w:rFonts w:hint="eastAsia" w:ascii="宋体" w:hAnsi="宋体"/>
          <w:szCs w:val="21"/>
        </w:rPr>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ascii="宋体" w:hAnsi="宋体"/>
          <w:szCs w:val="21"/>
        </w:rPr>
      </w:r>
      <w:r/>
    </w:p>
    <w:tbl>
      <w:tblPr>
        <w:tblStyle w:val="792"/>
        <w:tblW w:w="89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5"/>
        <w:gridCol w:w="6459"/>
      </w:tblGrid>
      <w:tr>
        <w:trPr>
          <w:cantSplit/>
          <w:jc w:val="center"/>
          <w:trHeight w:val="1098"/>
        </w:trPr>
        <w:tc>
          <w:tcPr>
            <w:tcW w:w="2505" w:type="dxa"/>
            <w:vAlign w:val="center"/>
            <w:textDirection w:val="lrTb"/>
            <w:noWrap w:val="false"/>
          </w:tcPr>
          <w:p>
            <w:pPr>
              <w:pStyle w:val="1047"/>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59"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投标报价</w:t>
            </w:r>
            <w:r>
              <w:rPr>
                <w:rFonts w:hint="eastAsia" w:ascii="宋体" w:hAnsi="宋体"/>
                <w:color w:val="auto"/>
                <w:szCs w:val="21"/>
                <w:highlight w:val="none"/>
                <w:lang w:val="en-US" w:eastAsia="zh-CN"/>
              </w:rPr>
              <w:t xml:space="preserve">优惠率</w:t>
            </w:r>
            <w:r/>
          </w:p>
        </w:tc>
      </w:tr>
      <w:tr>
        <w:trPr>
          <w:cantSplit/>
          <w:jc w:val="center"/>
          <w:trHeight w:val="1697"/>
        </w:trPr>
        <w:tc>
          <w:tcPr>
            <w:tcW w:w="2505" w:type="dxa"/>
            <w:vAlign w:val="center"/>
            <w:textDirection w:val="lrTb"/>
            <w:noWrap w:val="false"/>
          </w:tcPr>
          <w:p>
            <w:pPr>
              <w:pStyle w:val="1047"/>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59" w:type="dxa"/>
            <w:vAlign w:val="center"/>
            <w:textDirection w:val="lrTb"/>
            <w:noWrap w:val="false"/>
          </w:tcPr>
          <w:p>
            <w:pPr>
              <w:pStyle w:val="1019"/>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19"/>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eastAsia="zh-CN"/>
              </w:rPr>
              <w:t xml:space="preserve">单位</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w:t>
            </w:r>
            <w:r/>
          </w:p>
        </w:tc>
      </w:tr>
      <w:tr>
        <w:trPr>
          <w:cantSplit/>
          <w:jc w:val="center"/>
          <w:trHeight w:val="1697"/>
        </w:trPr>
        <w:tc>
          <w:tcPr>
            <w:gridSpan w:val="2"/>
            <w:tcW w:w="8964" w:type="dxa"/>
            <w:vAlign w:val="center"/>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食材供应价格按验收单确认的配送数量*配送食材当天的扬州市发改结委网站“价格监测”栏目上的价格*合同折扣进行结算(参照以往结算价格及市场行情)</w:t>
            </w:r>
            <w:r/>
          </w:p>
          <w:p>
            <w:pPr>
              <w:ind w:firstLine="420"/>
              <w:spacing w:line="360" w:lineRule="auto"/>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零售均价</w:t>
            </w:r>
            <w:r>
              <w:rPr>
                <w:rFonts w:hint="eastAsia" w:ascii="宋体" w:hAnsi="宋体" w:cs="宋体"/>
                <w:color w:val="auto"/>
                <w:szCs w:val="21"/>
                <w:highlight w:val="none"/>
                <w:lang w:eastAsia="zh-CN"/>
              </w:rPr>
              <w:t xml:space="preserve">：</w:t>
            </w:r>
            <w:r>
              <w:rPr>
                <w:rFonts w:ascii="宋体" w:hAnsi="宋体" w:cs="宋体"/>
                <w:color w:val="auto"/>
                <w:szCs w:val="21"/>
                <w:highlight w:val="none"/>
              </w:rPr>
              <w:t xml:space="preserve">配送食材当天的扬州市发改委网站“价格监测”栏目上的《扬州市区农贸市场主副食品均价》表中零售均价（当天未发布的，以最近一期发布的价格为准）</w:t>
            </w:r>
            <w:r>
              <w:rPr>
                <w:rFonts w:hint="eastAsia" w:ascii="宋体" w:hAnsi="宋体" w:cs="宋体"/>
                <w:color w:val="auto"/>
                <w:szCs w:val="21"/>
                <w:highlight w:val="none"/>
                <w:lang w:eastAsia="zh-CN"/>
              </w:rPr>
              <w:t xml:space="preserve">。</w:t>
            </w:r>
            <w:r/>
          </w:p>
          <w:p>
            <w:pPr>
              <w:ind w:firstLine="420"/>
              <w:spacing w:line="360" w:lineRule="auto"/>
              <w:rPr>
                <w:rFonts w:ascii="宋体" w:hAnsi="宋体" w:eastAsia="宋体" w:cs="宋体"/>
                <w:color w:val="ff0000"/>
                <w:sz w:val="21"/>
                <w:szCs w:val="21"/>
              </w:rPr>
            </w:pPr>
            <w:r>
              <w:rPr>
                <w:rFonts w:ascii="宋体" w:hAnsi="宋体" w:cs="宋体"/>
                <w:color w:val="ff0000"/>
                <w:szCs w:val="21"/>
                <w:highlight w:val="none"/>
              </w:rPr>
              <w:t xml:space="preserve">扬州市发改委网站“价格监测”栏目上没有的同期食材按双方认可的市场采购价执行， 此价格不参与让利，但不得高于</w:t>
            </w:r>
            <w:r>
              <w:rPr>
                <w:rFonts w:hint="eastAsia" w:ascii="宋体" w:hAnsi="宋体" w:cs="宋体"/>
                <w:color w:val="ff0000"/>
                <w:szCs w:val="21"/>
                <w:highlight w:val="none"/>
                <w:lang w:val="en-US" w:eastAsia="zh-CN"/>
              </w:rPr>
              <w:t xml:space="preserve">高邮市文游农贸市场或南海菜场</w:t>
            </w:r>
            <w:r>
              <w:rPr>
                <w:rFonts w:ascii="宋体" w:hAnsi="宋体" w:cs="宋体"/>
                <w:color w:val="ff0000"/>
                <w:szCs w:val="21"/>
                <w:highlight w:val="none"/>
              </w:rPr>
              <w:t xml:space="preserve">同期</w:t>
            </w:r>
            <w:r>
              <w:rPr>
                <w:rFonts w:hint="eastAsia" w:ascii="宋体" w:hAnsi="宋体" w:cs="宋体"/>
                <w:color w:val="ff0000"/>
                <w:szCs w:val="21"/>
                <w:highlight w:val="none"/>
                <w:lang w:val="en-US" w:eastAsia="zh-CN"/>
              </w:rPr>
              <w:t xml:space="preserve">团购</w:t>
            </w:r>
            <w:r>
              <w:rPr>
                <w:rFonts w:ascii="宋体" w:hAnsi="宋体" w:eastAsia="宋体" w:cs="宋体"/>
                <w:color w:val="ff0000"/>
                <w:spacing w:val="-6"/>
                <w:sz w:val="21"/>
                <w:szCs w:val="21"/>
              </w:rPr>
              <w:t xml:space="preserve">食材价格。</w:t>
            </w:r>
            <w:r/>
          </w:p>
          <w:p>
            <w:pPr>
              <w:ind w:left="538"/>
              <w:spacing w:before="32" w:line="214" w:lineRule="auto"/>
              <w:rPr>
                <w:rFonts w:hint="eastAsia" w:ascii="宋体" w:hAnsi="宋体" w:cs="宋体"/>
                <w:color w:val="auto"/>
                <w:sz w:val="21"/>
                <w:szCs w:val="21"/>
                <w:highlight w:val="none"/>
              </w:rPr>
            </w:pPr>
            <w:r>
              <w:rPr>
                <w:rFonts w:ascii="宋体" w:hAnsi="宋体" w:cs="宋体"/>
                <w:color w:val="auto"/>
                <w:szCs w:val="21"/>
                <w:highlight w:val="none"/>
              </w:rPr>
              <w:t xml:space="preserve">送货时提供验收单，</w:t>
            </w:r>
            <w:bookmarkStart w:id="253" w:name="_GoBack"/>
            <w:r/>
            <w:bookmarkEnd w:id="253"/>
            <w:r>
              <w:rPr>
                <w:rFonts w:ascii="宋体" w:hAnsi="宋体" w:cs="宋体"/>
                <w:color w:val="auto"/>
                <w:szCs w:val="21"/>
                <w:highlight w:val="none"/>
              </w:rPr>
              <w:t xml:space="preserve">收货人应签字核对确认，合同付款时需提供验收单作为发票附件。 </w:t>
            </w:r>
            <w:r/>
          </w:p>
        </w:tc>
      </w:tr>
    </w:tbl>
    <w:p>
      <w:pPr>
        <w:rPr>
          <w:rFonts w:ascii="宋体" w:hAnsi="宋体"/>
          <w:szCs w:val="21"/>
        </w:rPr>
      </w:pPr>
      <w:r>
        <w:rPr>
          <w:rFonts w:ascii="宋体" w:hAnsi="宋体"/>
          <w:szCs w:val="21"/>
        </w:rPr>
      </w:r>
      <w:r/>
    </w:p>
    <w:p>
      <w:pPr>
        <w:ind w:firstLine="480"/>
        <w:rPr>
          <w:rFonts w:ascii="宋体" w:hAnsi="宋体"/>
          <w:sz w:val="32"/>
          <w:szCs w:val="32"/>
        </w:rPr>
      </w:pPr>
      <w:r>
        <w:rPr>
          <w:rFonts w:hint="eastAsia" w:ascii="宋体" w:hAnsi="宋体"/>
          <w:szCs w:val="21"/>
        </w:rPr>
        <w:t xml:space="preserve">                                              日期：   年 月 日</w:t>
      </w:r>
      <w:r/>
    </w:p>
    <w:p>
      <w:pPr>
        <w:pStyle w:val="784"/>
      </w:p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pStyle w:val="784"/>
        <w:rPr>
          <w:rFonts w:ascii="宋体" w:hAnsi="宋体"/>
          <w:color w:val="000000"/>
        </w:rPr>
      </w:pPr>
      <w:r>
        <w:rPr>
          <w:rFonts w:ascii="宋体" w:hAnsi="宋体"/>
          <w:color w:val="000000"/>
        </w:rPr>
      </w:r>
      <w:r/>
    </w:p>
    <w:p>
      <w:pPr>
        <w:rPr>
          <w:rFonts w:ascii="宋体" w:hAnsi="宋体"/>
          <w:b/>
          <w:bCs/>
          <w:color w:val="000000"/>
          <w:sz w:val="32"/>
          <w:szCs w:val="32"/>
        </w:rPr>
      </w:pPr>
      <w:r>
        <w:rPr>
          <w:rFonts w:ascii="宋体" w:hAnsi="宋体"/>
          <w:b/>
          <w:bCs/>
          <w:color w:val="000000"/>
          <w:sz w:val="32"/>
          <w:szCs w:val="32"/>
        </w:rPr>
      </w:r>
      <w:r/>
    </w:p>
    <w:p>
      <w:pPr>
        <w:pStyle w:val="784"/>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ind w:firstLine="2570"/>
        <w:spacing w:line="360" w:lineRule="auto"/>
        <w:rPr>
          <w:rFonts w:ascii="宋体" w:hAnsi="宋体"/>
          <w:b/>
          <w:sz w:val="32"/>
          <w:szCs w:val="32"/>
        </w:rPr>
      </w:pPr>
      <w:r>
        <w:rPr>
          <w:rFonts w:hint="eastAsia" w:ascii="宋体" w:hAnsi="宋体"/>
          <w:b/>
          <w:sz w:val="32"/>
          <w:szCs w:val="32"/>
        </w:rPr>
        <w:t xml:space="preserve">五</w:t>
      </w:r>
      <w:bookmarkStart w:id="237" w:name="_Toc14378"/>
      <w:r/>
      <w:bookmarkStart w:id="238" w:name="_Toc10587"/>
      <w:r>
        <w:rPr>
          <w:rFonts w:hint="eastAsia" w:ascii="宋体" w:hAnsi="宋体"/>
          <w:b/>
          <w:sz w:val="32"/>
          <w:szCs w:val="32"/>
        </w:rPr>
        <w:t xml:space="preserve">、技术参数响应及偏离表</w:t>
      </w:r>
      <w:bookmarkEnd w:id="236"/>
      <w:r/>
      <w:bookmarkEnd w:id="237"/>
      <w:r/>
      <w:bookmarkEnd w:id="238"/>
      <w:r/>
      <w:r/>
    </w:p>
    <w:tbl>
      <w:tblPr>
        <w:tblStyle w:val="79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bookmarkStart w:id="239" w:name="_Toc21219"/>
      <w:r/>
      <w:bookmarkStart w:id="240" w:name="_Toc28127"/>
      <w:r>
        <w:rPr>
          <w:rFonts w:hint="eastAsia" w:ascii="宋体" w:hAnsi="宋体"/>
          <w:sz w:val="24"/>
          <w:szCs w:val="24"/>
        </w:rPr>
        <w:t xml:space="preserve">2、行数不够，可自行添加。</w:t>
      </w:r>
      <w:bookmarkEnd w:id="239"/>
      <w:r/>
      <w:bookmarkEnd w:id="240"/>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ind w:firstLine="2570"/>
        <w:spacing w:before="240" w:line="360" w:lineRule="auto"/>
      </w:pPr>
      <w:r/>
      <w:bookmarkStart w:id="241" w:name="_Hlt26955054"/>
      <w:r/>
      <w:bookmarkEnd w:id="241"/>
      <w:r/>
      <w:bookmarkStart w:id="242" w:name="_Toc113352363"/>
      <w:r/>
      <w:bookmarkStart w:id="243" w:name="_Toc10013"/>
      <w:r/>
      <w:bookmarkStart w:id="244" w:name="_Toc138777696"/>
      <w:r/>
      <w:bookmarkStart w:id="245" w:name="_Toc633"/>
      <w:r>
        <w:rPr>
          <w:rFonts w:hint="eastAsia" w:ascii="宋体" w:hAnsi="宋体"/>
          <w:b/>
          <w:sz w:val="32"/>
          <w:szCs w:val="32"/>
        </w:rPr>
        <w:t xml:space="preserve">六、商务条款响应及偏离表</w:t>
      </w:r>
      <w:bookmarkEnd w:id="242"/>
      <w:r/>
      <w:bookmarkEnd w:id="243"/>
      <w:r/>
      <w:bookmarkEnd w:id="244"/>
      <w:r/>
      <w:bookmarkEnd w:id="245"/>
      <w:r/>
      <w:r/>
    </w:p>
    <w:p>
      <w:pPr>
        <w:pStyle w:val="793"/>
        <w:ind w:firstLine="480"/>
        <w:rPr>
          <w:rFonts w:ascii="宋体" w:hAnsi="宋体"/>
          <w:sz w:val="24"/>
        </w:rPr>
      </w:pPr>
      <w:r/>
      <w:bookmarkStart w:id="246" w:name="_Hlt26609389"/>
      <w:r/>
      <w:bookmarkEnd w:id="246"/>
      <w:r/>
      <w:bookmarkStart w:id="247" w:name="_Hlt26671374"/>
      <w:r/>
      <w:bookmarkEnd w:id="247"/>
      <w:r/>
      <w:bookmarkStart w:id="248" w:name="_Hlt26955066"/>
      <w:r/>
      <w:bookmarkEnd w:id="248"/>
      <w:r/>
      <w:bookmarkStart w:id="249" w:name="_Toc462564146"/>
      <w:r/>
      <w:r/>
    </w:p>
    <w:p>
      <w:pPr>
        <w:pStyle w:val="793"/>
        <w:ind w:firstLine="480"/>
        <w:rPr>
          <w:rFonts w:ascii="宋体" w:hAnsi="宋体"/>
          <w:sz w:val="24"/>
        </w:rPr>
      </w:pPr>
      <w:r>
        <w:rPr>
          <w:rFonts w:ascii="宋体" w:hAnsi="宋体"/>
          <w:sz w:val="24"/>
        </w:rPr>
      </w:r>
      <w:r/>
    </w:p>
    <w:tbl>
      <w:tblPr>
        <w:tblStyle w:val="792"/>
        <w:tblW w:w="85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bottom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Borders>
              <w:left w:val="single" w:color="auto" w:sz="4" w:space="0"/>
              <w:bottom w:val="single" w:color="auto" w:sz="4" w:space="0"/>
              <w:right w:val="single" w:color="auto" w:sz="4" w:space="0"/>
            </w:tcBorders>
            <w:tcW w:w="2502"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招标文件要求</w:t>
            </w:r>
            <w:r/>
          </w:p>
        </w:tc>
        <w:tc>
          <w:tcPr>
            <w:tcBorders>
              <w:left w:val="single" w:color="auto" w:sz="4" w:space="0"/>
              <w:bottom w:val="single" w:color="auto" w:sz="4" w:space="0"/>
              <w:right w:val="single" w:color="auto" w:sz="4" w:space="0"/>
            </w:tcBorders>
            <w:tcW w:w="1837"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是否响应</w:t>
            </w:r>
            <w:r/>
          </w:p>
        </w:tc>
        <w:tc>
          <w:tcPr>
            <w:tcBorders>
              <w:left w:val="single" w:color="auto" w:sz="4" w:space="0"/>
              <w:bottom w:val="single" w:color="auto" w:sz="4" w:space="0"/>
            </w:tcBorders>
            <w:tcW w:w="2614"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投标人的承诺或说明</w:t>
            </w:r>
            <w:r/>
          </w:p>
        </w:tc>
      </w:tr>
      <w:tr>
        <w:trPr>
          <w:jc w:val="center"/>
          <w:trHeight w:val="469"/>
        </w:trPr>
        <w:tc>
          <w:tcPr>
            <w:tcBorders>
              <w:top w:val="single" w:color="auto" w:sz="4" w:space="0"/>
              <w:bottom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tcBorders>
            <w:tcW w:w="2614"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9"/>
        </w:trPr>
        <w:tc>
          <w:tcPr>
            <w:tcBorders>
              <w:top w:val="single" w:color="auto" w:sz="4" w:space="0"/>
              <w:bottom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tcBorders>
            <w:tcW w:w="2614"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40"/>
        </w:trPr>
        <w:tc>
          <w:tcPr>
            <w:tcBorders>
              <w:top w:val="single" w:color="auto" w:sz="4" w:space="0"/>
              <w:bottom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tcBorders>
            <w:tcW w:w="2614" w:type="dxa"/>
            <w:vAlign w:val="top"/>
            <w:textDirection w:val="lrTb"/>
            <w:noWrap/>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40"/>
        </w:trPr>
        <w:tc>
          <w:tcPr>
            <w:tcBorders>
              <w:top w:val="single" w:color="auto" w:sz="4" w:space="0"/>
              <w:bottom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tcBorders>
            <w:tcW w:w="2614" w:type="dxa"/>
            <w:vAlign w:val="top"/>
            <w:textDirection w:val="lrTb"/>
            <w:noWrap/>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0"/>
        </w:trPr>
        <w:tc>
          <w:tcPr>
            <w:tcBorders>
              <w:top w:val="single" w:color="auto" w:sz="4" w:space="0"/>
              <w:bottom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tcBorders>
            <w:tcW w:w="2614" w:type="dxa"/>
            <w:vAlign w:val="top"/>
            <w:textDirection w:val="lrTb"/>
            <w:noWrap/>
          </w:tcPr>
          <w:p>
            <w:pPr>
              <w:ind w:left="43"/>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02"/>
        </w:trPr>
        <w:tc>
          <w:tcPr>
            <w:tcBorders>
              <w:top w:val="single" w:color="auto" w:sz="4" w:space="0"/>
              <w:right w:val="single" w:color="auto" w:sz="4" w:space="0"/>
            </w:tcBorders>
            <w:tcW w:w="1638"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t xml:space="preserve">付款方式</w:t>
            </w:r>
            <w:r/>
          </w:p>
        </w:tc>
        <w:tc>
          <w:tcPr>
            <w:tcBorders>
              <w:top w:val="single" w:color="auto" w:sz="4" w:space="0"/>
              <w:left w:val="single" w:color="auto" w:sz="4" w:space="0"/>
              <w:right w:val="single" w:color="auto" w:sz="4" w:space="0"/>
            </w:tcBorders>
            <w:tcW w:w="2502" w:type="dxa"/>
            <w:vAlign w:val="top"/>
            <w:textDirection w:val="lrTb"/>
            <w:noWrap/>
          </w:tcPr>
          <w:p>
            <w:pP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837"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tcBorders>
            <w:tcW w:w="2614" w:type="dxa"/>
            <w:vAlign w:val="top"/>
            <w:textDirection w:val="lrTb"/>
            <w:noWrap/>
          </w:tcPr>
          <w:p>
            <w:pPr>
              <w:jc w:val="center"/>
              <w:spacing w:before="156"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hint="eastAsia" w:ascii="宋体" w:hAnsi="宋体"/>
          <w:sz w:val="24"/>
        </w:rPr>
        <w:t xml:space="preserve">.</w:t>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r/>
    </w:p>
    <w:p>
      <w:pPr>
        <w:pStyle w:val="793"/>
        <w:ind w:firstLine="480"/>
        <w:rPr>
          <w:rFonts w:ascii="宋体" w:hAnsi="宋体"/>
          <w:sz w:val="24"/>
        </w:rPr>
      </w:pPr>
      <w:r>
        <w:rPr>
          <w:rFonts w:ascii="宋体" w:hAnsi="宋体"/>
          <w:sz w:val="24"/>
        </w:rPr>
      </w:r>
      <w:bookmarkEnd w:id="249"/>
      <w:r/>
      <w:r/>
    </w:p>
    <w:p>
      <w:pPr>
        <w:pStyle w:val="793"/>
        <w:ind w:firstLine="480"/>
        <w:rPr>
          <w:rFonts w:ascii="宋体" w:hAnsi="宋体"/>
          <w:sz w:val="24"/>
        </w:rPr>
      </w:pPr>
      <w:r>
        <w:rPr>
          <w:rFonts w:ascii="宋体" w:hAnsi="宋体"/>
          <w:sz w:val="24"/>
        </w:rPr>
      </w:r>
      <w:r/>
    </w:p>
    <w:p>
      <w:pPr>
        <w:jc w:val="left"/>
        <w:widowControl/>
      </w:pPr>
      <w:r/>
      <w:bookmarkStart w:id="250" w:name="_格式2__法定代表人授权书"/>
      <w:r/>
      <w:bookmarkEnd w:id="250"/>
      <w:r>
        <w:rPr>
          <w:rFonts w:ascii="宋体" w:hAnsi="宋体"/>
          <w:b/>
        </w:rPr>
        <w:br w:type="page" w:clear="all"/>
      </w:r>
      <w:r/>
    </w:p>
    <w:p>
      <w:pPr>
        <w:jc w:val="center"/>
        <w:spacing w:before="240" w:line="360" w:lineRule="auto"/>
        <w:rPr>
          <w:rFonts w:ascii="宋体" w:hAnsi="宋体"/>
          <w:sz w:val="24"/>
          <w:szCs w:val="24"/>
        </w:rPr>
      </w:pPr>
      <w:r/>
      <w:bookmarkStart w:id="251" w:name="_Toc18141"/>
      <w:r/>
      <w:bookmarkStart w:id="252" w:name="_Toc10300"/>
      <w:r>
        <w:rPr>
          <w:rFonts w:hint="eastAsia" w:ascii="宋体" w:hAnsi="宋体"/>
          <w:b/>
          <w:sz w:val="32"/>
          <w:szCs w:val="32"/>
        </w:rPr>
        <w:t xml:space="preserve">主要标的信息（中标后将公示）</w:t>
      </w:r>
      <w:bookmarkEnd w:id="251"/>
      <w:r/>
      <w:bookmarkEnd w:id="252"/>
      <w:r/>
      <w:r/>
    </w:p>
    <w:p>
      <w:pPr>
        <w:spacing w:after="312" w:line="360" w:lineRule="auto"/>
        <w:rPr>
          <w:rFonts w:ascii="宋体" w:hAnsi="宋体"/>
          <w:b/>
        </w:rPr>
      </w:pPr>
      <w:r>
        <w:rPr>
          <w:rFonts w:hint="eastAsia" w:ascii="宋体" w:hAnsi="宋体"/>
        </w:rPr>
        <w:t xml:space="preserve">投标人全称：</w:t>
      </w:r>
      <w:r/>
    </w:p>
    <w:tbl>
      <w:tblPr>
        <w:tblStyle w:val="792"/>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p>
      <w:pPr>
        <w:jc w:val="left"/>
        <w:widowControl/>
      </w:pPr>
      <w:r/>
      <w:r/>
    </w:p>
    <w:sectPr>
      <w:headerReference w:type="default" r:id="rId12"/>
      <w:footerReference w:type="defaul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Helvetica Neue">
    <w:panose1 w:val="020B0503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rPr>
        <w:rFonts w:ascii="宋体" w:hAnsi="宋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left"/>
      <w:tabs>
        <w:tab w:val="left" w:pos="1750" w:leader="none"/>
      </w:tabs>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left"/>
      <w:tabs>
        <w:tab w:val="left" w:pos="1750"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TOC Heading"/>
    <w:uiPriority w:val="39"/>
    <w:unhideWhenUsed/>
  </w:style>
  <w:style w:type="paragraph" w:styleId="78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82">
    <w:name w:val="Heading 1"/>
    <w:basedOn w:val="781"/>
    <w:next w:val="781"/>
    <w:uiPriority w:val="9"/>
    <w:qFormat/>
    <w:pPr>
      <w:jc w:val="center"/>
      <w:keepLines/>
      <w:keepNext/>
      <w:spacing w:before="340" w:after="330" w:line="360" w:lineRule="auto"/>
      <w:outlineLvl w:val="0"/>
    </w:pPr>
    <w:rPr>
      <w:rFonts w:ascii="宋体" w:hAnsi="宋体"/>
      <w:b/>
      <w:bCs/>
      <w:color w:val="000000"/>
      <w:sz w:val="34"/>
      <w:szCs w:val="34"/>
    </w:rPr>
  </w:style>
  <w:style w:type="paragraph" w:styleId="783">
    <w:name w:val="Heading 2"/>
    <w:basedOn w:val="781"/>
    <w:next w:val="7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4">
    <w:name w:val="Heading 3"/>
    <w:basedOn w:val="781"/>
    <w:next w:val="781"/>
    <w:uiPriority w:val="0"/>
    <w:qFormat/>
    <w:pPr>
      <w:keepLines/>
      <w:keepNext/>
      <w:spacing w:before="260" w:after="260" w:line="416" w:lineRule="auto"/>
      <w:outlineLvl w:val="2"/>
    </w:pPr>
    <w:rPr>
      <w:b/>
      <w:bCs/>
      <w:sz w:val="32"/>
      <w:szCs w:val="32"/>
    </w:rPr>
  </w:style>
  <w:style w:type="paragraph" w:styleId="785">
    <w:name w:val="Heading 4"/>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uiPriority w:val="9"/>
    <w:unhideWhenUsed/>
    <w:qFormat/>
    <w:pPr>
      <w:keepLines/>
      <w:keepNext/>
      <w:spacing w:before="320" w:after="200"/>
      <w:outlineLvl w:val="5"/>
    </w:pPr>
    <w:rPr>
      <w:rFonts w:ascii="Arial" w:hAnsi="Arial" w:eastAsia="Arial" w:cs="Arial"/>
      <w:b/>
      <w:bCs/>
      <w:sz w:val="22"/>
    </w:rPr>
  </w:style>
  <w:style w:type="paragraph" w:styleId="788">
    <w:name w:val="Heading 7"/>
    <w:basedOn w:val="781"/>
    <w:next w:val="781"/>
    <w:uiPriority w:val="9"/>
    <w:unhideWhenUsed/>
    <w:qFormat/>
    <w:pPr>
      <w:keepLines/>
      <w:keepNext/>
      <w:spacing w:before="320" w:after="200"/>
      <w:outlineLvl w:val="6"/>
    </w:pPr>
    <w:rPr>
      <w:rFonts w:ascii="Arial" w:hAnsi="Arial" w:eastAsia="Arial" w:cs="Arial"/>
      <w:b/>
      <w:bCs/>
      <w:i/>
      <w:iCs/>
      <w:sz w:val="22"/>
    </w:rPr>
  </w:style>
  <w:style w:type="paragraph" w:styleId="789">
    <w:name w:val="Heading 8"/>
    <w:basedOn w:val="781"/>
    <w:next w:val="781"/>
    <w:uiPriority w:val="9"/>
    <w:unhideWhenUsed/>
    <w:qFormat/>
    <w:pPr>
      <w:keepLines/>
      <w:keepNext/>
      <w:spacing w:before="320" w:after="200"/>
      <w:outlineLvl w:val="7"/>
    </w:pPr>
    <w:rPr>
      <w:rFonts w:ascii="Arial" w:hAnsi="Arial" w:eastAsia="Arial" w:cs="Arial"/>
      <w:i/>
      <w:iCs/>
      <w:sz w:val="22"/>
    </w:rPr>
  </w:style>
  <w:style w:type="paragraph" w:styleId="790">
    <w:name w:val="Heading 9"/>
    <w:basedOn w:val="781"/>
    <w:next w:val="781"/>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Normal Indent"/>
    <w:basedOn w:val="781"/>
    <w:uiPriority w:val="0"/>
    <w:unhideWhenUsed/>
    <w:qFormat/>
    <w:pPr>
      <w:ind w:firstLine="420"/>
    </w:pPr>
  </w:style>
  <w:style w:type="paragraph" w:styleId="794">
    <w:name w:val="toc 7"/>
    <w:basedOn w:val="781"/>
    <w:next w:val="781"/>
    <w:uiPriority w:val="39"/>
    <w:unhideWhenUsed/>
    <w:qFormat/>
    <w:pPr>
      <w:ind w:left="1701"/>
      <w:spacing w:after="57"/>
    </w:pPr>
  </w:style>
  <w:style w:type="paragraph" w:styleId="795">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basedOn w:val="781"/>
    <w:uiPriority w:val="0"/>
    <w:qFormat/>
    <w:pPr>
      <w:jc w:val="left"/>
    </w:pPr>
  </w:style>
  <w:style w:type="paragraph" w:styleId="797">
    <w:name w:val="Body Text"/>
    <w:basedOn w:val="781"/>
    <w:link w:val="1035"/>
    <w:uiPriority w:val="0"/>
    <w:qFormat/>
    <w:rPr>
      <w:rFonts w:ascii="楷体_GB2312" w:hAnsi="Arial" w:eastAsia="楷体_GB2312"/>
      <w:sz w:val="28"/>
      <w:szCs w:val="28"/>
    </w:rPr>
  </w:style>
  <w:style w:type="paragraph" w:styleId="798">
    <w:name w:val="Body Text Indent"/>
    <w:basedOn w:val="781"/>
    <w:uiPriority w:val="99"/>
    <w:unhideWhenUsed/>
    <w:qFormat/>
    <w:pPr>
      <w:ind w:left="420"/>
      <w:spacing w:after="120"/>
    </w:pPr>
  </w:style>
  <w:style w:type="paragraph" w:styleId="799">
    <w:name w:val="toc 5"/>
    <w:basedOn w:val="781"/>
    <w:next w:val="781"/>
    <w:uiPriority w:val="39"/>
    <w:unhideWhenUsed/>
    <w:qFormat/>
    <w:pPr>
      <w:ind w:left="1134"/>
      <w:spacing w:after="57"/>
    </w:pPr>
  </w:style>
  <w:style w:type="paragraph" w:styleId="800">
    <w:name w:val="toc 3"/>
    <w:basedOn w:val="781"/>
    <w:next w:val="781"/>
    <w:uiPriority w:val="39"/>
    <w:qFormat/>
    <w:pPr>
      <w:ind w:left="840"/>
    </w:pPr>
  </w:style>
  <w:style w:type="paragraph" w:styleId="801">
    <w:name w:val="Plain Text"/>
    <w:basedOn w:val="781"/>
    <w:uiPriority w:val="99"/>
    <w:qFormat/>
    <w:rPr>
      <w:rFonts w:ascii="宋体" w:hAnsi="Courier New"/>
      <w:sz w:val="20"/>
      <w:szCs w:val="21"/>
    </w:rPr>
  </w:style>
  <w:style w:type="paragraph" w:styleId="802">
    <w:name w:val="toc 8"/>
    <w:basedOn w:val="781"/>
    <w:next w:val="781"/>
    <w:uiPriority w:val="39"/>
    <w:unhideWhenUsed/>
    <w:qFormat/>
    <w:pPr>
      <w:ind w:left="1984"/>
      <w:spacing w:after="57"/>
    </w:pPr>
  </w:style>
  <w:style w:type="paragraph" w:styleId="803">
    <w:name w:val="endnote text"/>
    <w:basedOn w:val="781"/>
    <w:link w:val="1016"/>
    <w:uiPriority w:val="99"/>
    <w:semiHidden/>
    <w:unhideWhenUsed/>
    <w:qFormat/>
    <w:rPr>
      <w:rFonts w:ascii="Times New Roman" w:hAnsi="Times New Roman"/>
      <w:sz w:val="20"/>
      <w:szCs w:val="20"/>
    </w:rPr>
  </w:style>
  <w:style w:type="paragraph" w:styleId="804">
    <w:name w:val="Balloon Text"/>
    <w:basedOn w:val="781"/>
    <w:link w:val="1018"/>
    <w:uiPriority w:val="0"/>
    <w:qFormat/>
    <w:rPr>
      <w:rFonts w:ascii="Times New Roman" w:hAnsi="Times New Roman"/>
      <w:sz w:val="18"/>
      <w:szCs w:val="18"/>
    </w:rPr>
  </w:style>
  <w:style w:type="paragraph" w:styleId="805">
    <w:name w:val="Footer"/>
    <w:basedOn w:val="781"/>
    <w:link w:val="1030"/>
    <w:uiPriority w:val="99"/>
    <w:unhideWhenUsed/>
    <w:qFormat/>
    <w:pPr>
      <w:jc w:val="left"/>
      <w:tabs>
        <w:tab w:val="center" w:pos="4153" w:leader="none"/>
        <w:tab w:val="right" w:pos="8306" w:leader="none"/>
      </w:tabs>
    </w:pPr>
    <w:rPr>
      <w:sz w:val="18"/>
      <w:szCs w:val="18"/>
    </w:rPr>
  </w:style>
  <w:style w:type="paragraph" w:styleId="806">
    <w:name w:val="Header"/>
    <w:basedOn w:val="781"/>
    <w:link w:val="102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07">
    <w:name w:val="toc 1"/>
    <w:basedOn w:val="781"/>
    <w:next w:val="781"/>
    <w:uiPriority w:val="39"/>
    <w:unhideWhenUsed/>
    <w:qFormat/>
  </w:style>
  <w:style w:type="paragraph" w:styleId="808">
    <w:name w:val="toc 4"/>
    <w:basedOn w:val="781"/>
    <w:next w:val="781"/>
    <w:uiPriority w:val="39"/>
    <w:unhideWhenUsed/>
    <w:qFormat/>
    <w:pPr>
      <w:ind w:left="850"/>
      <w:spacing w:after="57"/>
    </w:pPr>
  </w:style>
  <w:style w:type="paragraph" w:styleId="809">
    <w:name w:val="Subtitle"/>
    <w:basedOn w:val="781"/>
    <w:next w:val="781"/>
    <w:link w:val="879"/>
    <w:uiPriority w:val="11"/>
    <w:qFormat/>
    <w:pPr>
      <w:spacing w:before="200" w:after="200"/>
    </w:pPr>
    <w:rPr>
      <w:rFonts w:ascii="Times New Roman" w:hAnsi="Times New Roman"/>
      <w:sz w:val="24"/>
      <w:szCs w:val="24"/>
    </w:rPr>
  </w:style>
  <w:style w:type="paragraph" w:styleId="810">
    <w:name w:val="footnote text"/>
    <w:basedOn w:val="781"/>
    <w:link w:val="1015"/>
    <w:uiPriority w:val="99"/>
    <w:semiHidden/>
    <w:unhideWhenUsed/>
    <w:qFormat/>
    <w:pPr>
      <w:spacing w:after="40"/>
    </w:pPr>
    <w:rPr>
      <w:rFonts w:ascii="Times New Roman" w:hAnsi="Times New Roman"/>
      <w:sz w:val="18"/>
      <w:szCs w:val="20"/>
    </w:rPr>
  </w:style>
  <w:style w:type="paragraph" w:styleId="811">
    <w:name w:val="toc 6"/>
    <w:basedOn w:val="781"/>
    <w:next w:val="781"/>
    <w:uiPriority w:val="39"/>
    <w:unhideWhenUsed/>
    <w:qFormat/>
    <w:pPr>
      <w:ind w:left="1417"/>
      <w:spacing w:after="57"/>
    </w:pPr>
  </w:style>
  <w:style w:type="paragraph" w:styleId="812">
    <w:name w:val="table of figures"/>
    <w:basedOn w:val="781"/>
    <w:next w:val="781"/>
    <w:uiPriority w:val="99"/>
    <w:unhideWhenUsed/>
    <w:qFormat/>
  </w:style>
  <w:style w:type="paragraph" w:styleId="813">
    <w:name w:val="toc 2"/>
    <w:basedOn w:val="781"/>
    <w:next w:val="781"/>
    <w:uiPriority w:val="39"/>
    <w:qFormat/>
    <w:pPr>
      <w:ind w:left="420"/>
    </w:pPr>
  </w:style>
  <w:style w:type="paragraph" w:styleId="814">
    <w:name w:val="toc 9"/>
    <w:basedOn w:val="781"/>
    <w:next w:val="781"/>
    <w:uiPriority w:val="99"/>
    <w:qFormat/>
    <w:pPr>
      <w:ind w:left="3360"/>
    </w:pPr>
  </w:style>
  <w:style w:type="paragraph" w:styleId="815">
    <w:name w:val="HTML Preformatted"/>
    <w:basedOn w:val="7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lang w:val="zh-CN" w:bidi="zh-CN"/>
    </w:rPr>
  </w:style>
  <w:style w:type="paragraph" w:styleId="816">
    <w:name w:val="Normal (Web)"/>
    <w:basedOn w:val="781"/>
    <w:uiPriority w:val="0"/>
    <w:qFormat/>
    <w:rPr>
      <w:rFonts w:ascii="Times New Roman" w:hAnsi="Times New Roman"/>
      <w:sz w:val="24"/>
    </w:rPr>
  </w:style>
  <w:style w:type="paragraph" w:styleId="817">
    <w:name w:val="Title"/>
    <w:basedOn w:val="781"/>
    <w:next w:val="781"/>
    <w:link w:val="878"/>
    <w:uiPriority w:val="10"/>
    <w:qFormat/>
    <w:pPr>
      <w:contextualSpacing/>
      <w:spacing w:before="300" w:after="200"/>
    </w:pPr>
    <w:rPr>
      <w:rFonts w:ascii="Times New Roman" w:hAnsi="Times New Roman"/>
      <w:sz w:val="48"/>
      <w:szCs w:val="48"/>
    </w:rPr>
  </w:style>
  <w:style w:type="paragraph" w:styleId="818">
    <w:name w:val="Body Text First Indent 2"/>
    <w:basedOn w:val="798"/>
    <w:uiPriority w:val="0"/>
    <w:qFormat/>
    <w:pPr>
      <w:ind w:left="0" w:firstLine="420"/>
    </w:pPr>
  </w:style>
  <w:style w:type="table" w:styleId="819">
    <w:name w:val="Table Grid"/>
    <w:basedOn w:val="7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uiPriority w:val="0"/>
    <w:qFormat/>
    <w:rPr>
      <w:b/>
    </w:rPr>
  </w:style>
  <w:style w:type="character" w:styleId="821">
    <w:name w:val="endnote reference"/>
    <w:uiPriority w:val="99"/>
    <w:semiHidden/>
    <w:unhideWhenUsed/>
    <w:qFormat/>
    <w:rPr>
      <w:vertAlign w:val="superscript"/>
    </w:rPr>
  </w:style>
  <w:style w:type="character" w:styleId="822">
    <w:name w:val="Hyperlink"/>
    <w:basedOn w:val="791"/>
    <w:uiPriority w:val="0"/>
    <w:qFormat/>
    <w:rPr>
      <w:color w:val="0000ff"/>
      <w:u w:val="single"/>
    </w:rPr>
  </w:style>
  <w:style w:type="character" w:styleId="823">
    <w:name w:val="annotation reference"/>
    <w:uiPriority w:val="0"/>
    <w:qFormat/>
    <w:rPr>
      <w:sz w:val="21"/>
      <w:szCs w:val="21"/>
    </w:rPr>
  </w:style>
  <w:style w:type="character" w:styleId="824">
    <w:name w:val="footnote reference"/>
    <w:uiPriority w:val="99"/>
    <w:unhideWhenUsed/>
    <w:qFormat/>
    <w:rPr>
      <w:vertAlign w:val="superscript"/>
    </w:rPr>
  </w:style>
  <w:style w:type="paragraph" w:styleId="825" w:customStyle="1">
    <w:name w:val="Default"/>
    <w:next w:val="781"/>
    <w:uiPriority w:val="0"/>
    <w:qFormat/>
    <w:pPr>
      <w:widowControl w:val="off"/>
    </w:pPr>
    <w:rPr>
      <w:rFonts w:ascii="宋体" w:hAnsi="Times New Roman" w:eastAsia="宋体" w:cs="宋体"/>
      <w:color w:val="000000"/>
      <w:sz w:val="24"/>
      <w:szCs w:val="24"/>
      <w:lang w:val="en-US" w:eastAsia="zh-CN" w:bidi="ar-SA"/>
    </w:rPr>
  </w:style>
  <w:style w:type="character" w:styleId="826" w:customStyle="1">
    <w:name w:val="Title Char"/>
    <w:basedOn w:val="791"/>
    <w:uiPriority w:val="10"/>
    <w:qFormat/>
    <w:rPr>
      <w:sz w:val="48"/>
      <w:szCs w:val="48"/>
    </w:rPr>
  </w:style>
  <w:style w:type="character" w:styleId="827" w:customStyle="1">
    <w:name w:val="Subtitle Char"/>
    <w:basedOn w:val="791"/>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Plain Table 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9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9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9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9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
    <w:uiPriority w:val="39"/>
    <w:unhideWhenUsed/>
    <w:qFormat/>
    <w:rPr>
      <w:rFonts w:ascii="Times New Roman" w:hAnsi="Times New Roman" w:eastAsia="宋体" w:cs="Times New Roman"/>
      <w:lang w:val="en-US" w:eastAsia="zh-CN" w:bidi="ar-SA"/>
    </w:rPr>
  </w:style>
  <w:style w:type="paragraph" w:styleId="852" w:customStyle="1">
    <w:name w:val="标题 31"/>
    <w:basedOn w:val="781"/>
    <w:next w:val="781"/>
    <w:uiPriority w:val="0"/>
    <w:qFormat/>
    <w:pPr>
      <w:keepLines/>
      <w:keepNext/>
      <w:spacing w:before="260" w:after="260" w:line="416" w:lineRule="auto"/>
      <w:outlineLvl w:val="2"/>
    </w:pPr>
    <w:rPr>
      <w:b/>
      <w:bCs/>
      <w:sz w:val="32"/>
      <w:szCs w:val="32"/>
    </w:rPr>
  </w:style>
  <w:style w:type="paragraph" w:styleId="853" w:customStyle="1">
    <w:name w:val="正文1"/>
    <w:basedOn w:val="781"/>
    <w:next w:val="854"/>
    <w:uiPriority w:val="0"/>
    <w:qFormat/>
    <w:pPr>
      <w:jc w:val="left"/>
      <w:spacing w:line="360" w:lineRule="atLeast"/>
    </w:pPr>
    <w:rPr>
      <w:rFonts w:ascii="宋体"/>
      <w:sz w:val="24"/>
      <w:szCs w:val="20"/>
    </w:rPr>
  </w:style>
  <w:style w:type="paragraph" w:styleId="854" w:customStyle="1">
    <w:name w:val="正文文本1"/>
    <w:basedOn w:val="853"/>
    <w:next w:val="855"/>
    <w:uiPriority w:val="0"/>
    <w:qFormat/>
    <w:pPr>
      <w:spacing w:after="120"/>
    </w:pPr>
    <w:rPr>
      <w:lang w:eastAsia="en-US"/>
    </w:rPr>
  </w:style>
  <w:style w:type="paragraph" w:styleId="855" w:customStyle="1">
    <w:name w:val="一级条标题"/>
    <w:basedOn w:val="856"/>
    <w:next w:val="8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78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7" w:customStyle="1">
    <w:name w:val="段"/>
    <w:basedOn w:val="853"/>
    <w:next w:val="781"/>
    <w:uiPriority w:val="0"/>
    <w:qFormat/>
    <w:pPr>
      <w:ind w:firstLine="200"/>
      <w:widowControl/>
    </w:pPr>
    <w:rPr>
      <w:sz w:val="20"/>
    </w:rPr>
  </w:style>
  <w:style w:type="paragraph" w:styleId="858" w:customStyle="1">
    <w:name w:val="标题 11"/>
    <w:basedOn w:val="781"/>
    <w:next w:val="781"/>
    <w:link w:val="859"/>
    <w:uiPriority w:val="9"/>
    <w:qFormat/>
    <w:pPr>
      <w:keepLines/>
      <w:keepNext/>
      <w:spacing w:before="480" w:after="200"/>
      <w:outlineLvl w:val="0"/>
    </w:pPr>
    <w:rPr>
      <w:rFonts w:ascii="Arial" w:hAnsi="Arial" w:eastAsia="Arial"/>
      <w:sz w:val="40"/>
      <w:szCs w:val="40"/>
    </w:rPr>
  </w:style>
  <w:style w:type="character" w:styleId="859" w:customStyle="1">
    <w:name w:val="Heading 1 Char"/>
    <w:link w:val="858"/>
    <w:uiPriority w:val="9"/>
    <w:qFormat/>
    <w:rPr>
      <w:rFonts w:ascii="Arial" w:hAnsi="Arial" w:eastAsia="Arial" w:cs="Arial"/>
      <w:sz w:val="40"/>
      <w:szCs w:val="40"/>
    </w:rPr>
  </w:style>
  <w:style w:type="paragraph" w:styleId="860" w:customStyle="1">
    <w:name w:val="标题 21"/>
    <w:basedOn w:val="781"/>
    <w:next w:val="781"/>
    <w:link w:val="861"/>
    <w:uiPriority w:val="9"/>
    <w:unhideWhenUsed/>
    <w:qFormat/>
    <w:pPr>
      <w:keepLines/>
      <w:keepNext/>
      <w:spacing w:before="360" w:after="200"/>
      <w:outlineLvl w:val="1"/>
    </w:pPr>
    <w:rPr>
      <w:rFonts w:ascii="Arial" w:hAnsi="Arial" w:eastAsia="Arial"/>
      <w:sz w:val="34"/>
      <w:szCs w:val="20"/>
    </w:rPr>
  </w:style>
  <w:style w:type="character" w:styleId="861" w:customStyle="1">
    <w:name w:val="Heading 2 Char"/>
    <w:link w:val="860"/>
    <w:uiPriority w:val="9"/>
    <w:qFormat/>
    <w:rPr>
      <w:rFonts w:ascii="Arial" w:hAnsi="Arial" w:eastAsia="Arial" w:cs="Arial"/>
      <w:sz w:val="34"/>
    </w:rPr>
  </w:style>
  <w:style w:type="paragraph" w:styleId="862" w:customStyle="1">
    <w:name w:val="标题 32"/>
    <w:basedOn w:val="781"/>
    <w:next w:val="781"/>
    <w:link w:val="863"/>
    <w:uiPriority w:val="9"/>
    <w:unhideWhenUsed/>
    <w:qFormat/>
    <w:pPr>
      <w:keepLines/>
      <w:keepNext/>
      <w:spacing w:before="320" w:after="200"/>
      <w:outlineLvl w:val="2"/>
    </w:pPr>
    <w:rPr>
      <w:rFonts w:ascii="Arial" w:hAnsi="Arial" w:eastAsia="Arial"/>
      <w:sz w:val="30"/>
      <w:szCs w:val="30"/>
    </w:rPr>
  </w:style>
  <w:style w:type="character" w:styleId="863" w:customStyle="1">
    <w:name w:val="Heading 3 Char"/>
    <w:link w:val="862"/>
    <w:uiPriority w:val="9"/>
    <w:qFormat/>
    <w:rPr>
      <w:rFonts w:ascii="Arial" w:hAnsi="Arial" w:eastAsia="Arial" w:cs="Arial"/>
      <w:sz w:val="30"/>
      <w:szCs w:val="30"/>
    </w:rPr>
  </w:style>
  <w:style w:type="paragraph" w:styleId="864" w:customStyle="1">
    <w:name w:val="标题 41"/>
    <w:basedOn w:val="781"/>
    <w:next w:val="781"/>
    <w:link w:val="865"/>
    <w:uiPriority w:val="9"/>
    <w:unhideWhenUsed/>
    <w:qFormat/>
    <w:pPr>
      <w:keepLines/>
      <w:keepNext/>
      <w:spacing w:before="320" w:after="200"/>
      <w:outlineLvl w:val="3"/>
    </w:pPr>
    <w:rPr>
      <w:rFonts w:ascii="Arial" w:hAnsi="Arial" w:eastAsia="Arial"/>
      <w:b/>
      <w:bCs/>
      <w:sz w:val="26"/>
      <w:szCs w:val="26"/>
    </w:rPr>
  </w:style>
  <w:style w:type="character" w:styleId="865" w:customStyle="1">
    <w:name w:val="Heading 4 Char"/>
    <w:link w:val="864"/>
    <w:uiPriority w:val="9"/>
    <w:qFormat/>
    <w:rPr>
      <w:rFonts w:ascii="Arial" w:hAnsi="Arial" w:eastAsia="Arial" w:cs="Arial"/>
      <w:b/>
      <w:bCs/>
      <w:sz w:val="26"/>
      <w:szCs w:val="26"/>
    </w:rPr>
  </w:style>
  <w:style w:type="paragraph" w:styleId="866" w:customStyle="1">
    <w:name w:val="标题 51"/>
    <w:basedOn w:val="781"/>
    <w:next w:val="781"/>
    <w:link w:val="867"/>
    <w:uiPriority w:val="9"/>
    <w:unhideWhenUsed/>
    <w:qFormat/>
    <w:pPr>
      <w:keepLines/>
      <w:keepNext/>
      <w:spacing w:before="320" w:after="200"/>
      <w:outlineLvl w:val="4"/>
    </w:pPr>
    <w:rPr>
      <w:rFonts w:ascii="Arial" w:hAnsi="Arial" w:eastAsia="Arial"/>
      <w:b/>
      <w:bCs/>
      <w:sz w:val="24"/>
      <w:szCs w:val="24"/>
    </w:rPr>
  </w:style>
  <w:style w:type="character" w:styleId="867" w:customStyle="1">
    <w:name w:val="Heading 5 Char"/>
    <w:link w:val="866"/>
    <w:uiPriority w:val="9"/>
    <w:qFormat/>
    <w:rPr>
      <w:rFonts w:ascii="Arial" w:hAnsi="Arial" w:eastAsia="Arial" w:cs="Arial"/>
      <w:b/>
      <w:bCs/>
      <w:sz w:val="24"/>
      <w:szCs w:val="24"/>
    </w:rPr>
  </w:style>
  <w:style w:type="paragraph" w:styleId="868" w:customStyle="1">
    <w:name w:val="标题 61"/>
    <w:basedOn w:val="781"/>
    <w:next w:val="781"/>
    <w:link w:val="869"/>
    <w:uiPriority w:val="9"/>
    <w:unhideWhenUsed/>
    <w:qFormat/>
    <w:pPr>
      <w:keepLines/>
      <w:keepNext/>
      <w:spacing w:before="320" w:after="200"/>
      <w:outlineLvl w:val="5"/>
    </w:pPr>
    <w:rPr>
      <w:rFonts w:ascii="Arial" w:hAnsi="Arial" w:eastAsia="Arial"/>
      <w:b/>
      <w:bCs/>
      <w:sz w:val="22"/>
    </w:rPr>
  </w:style>
  <w:style w:type="character" w:styleId="869" w:customStyle="1">
    <w:name w:val="Heading 6 Char"/>
    <w:link w:val="868"/>
    <w:uiPriority w:val="9"/>
    <w:qFormat/>
    <w:rPr>
      <w:rFonts w:ascii="Arial" w:hAnsi="Arial" w:eastAsia="Arial" w:cs="Arial"/>
      <w:b/>
      <w:bCs/>
      <w:sz w:val="22"/>
      <w:szCs w:val="22"/>
    </w:rPr>
  </w:style>
  <w:style w:type="paragraph" w:styleId="870" w:customStyle="1">
    <w:name w:val="标题 71"/>
    <w:basedOn w:val="781"/>
    <w:next w:val="781"/>
    <w:link w:val="871"/>
    <w:uiPriority w:val="9"/>
    <w:unhideWhenUsed/>
    <w:qFormat/>
    <w:pPr>
      <w:keepLines/>
      <w:keepNext/>
      <w:spacing w:before="320" w:after="200"/>
      <w:outlineLvl w:val="6"/>
    </w:pPr>
    <w:rPr>
      <w:rFonts w:ascii="Arial" w:hAnsi="Arial" w:eastAsia="Arial"/>
      <w:b/>
      <w:bCs/>
      <w:i/>
      <w:iCs/>
      <w:sz w:val="22"/>
    </w:rPr>
  </w:style>
  <w:style w:type="character" w:styleId="871" w:customStyle="1">
    <w:name w:val="Heading 7 Char"/>
    <w:link w:val="870"/>
    <w:uiPriority w:val="9"/>
    <w:qFormat/>
    <w:rPr>
      <w:rFonts w:ascii="Arial" w:hAnsi="Arial" w:eastAsia="Arial" w:cs="Arial"/>
      <w:b/>
      <w:bCs/>
      <w:i/>
      <w:iCs/>
      <w:sz w:val="22"/>
      <w:szCs w:val="22"/>
    </w:rPr>
  </w:style>
  <w:style w:type="paragraph" w:styleId="872" w:customStyle="1">
    <w:name w:val="标题 81"/>
    <w:basedOn w:val="781"/>
    <w:next w:val="781"/>
    <w:link w:val="873"/>
    <w:uiPriority w:val="9"/>
    <w:unhideWhenUsed/>
    <w:qFormat/>
    <w:pPr>
      <w:keepLines/>
      <w:keepNext/>
      <w:spacing w:before="320" w:after="200"/>
      <w:outlineLvl w:val="7"/>
    </w:pPr>
    <w:rPr>
      <w:rFonts w:ascii="Arial" w:hAnsi="Arial" w:eastAsia="Arial"/>
      <w:i/>
      <w:iCs/>
      <w:sz w:val="22"/>
    </w:rPr>
  </w:style>
  <w:style w:type="character" w:styleId="873" w:customStyle="1">
    <w:name w:val="Heading 8 Char"/>
    <w:link w:val="872"/>
    <w:uiPriority w:val="9"/>
    <w:qFormat/>
    <w:rPr>
      <w:rFonts w:ascii="Arial" w:hAnsi="Arial" w:eastAsia="Arial" w:cs="Arial"/>
      <w:i/>
      <w:iCs/>
      <w:sz w:val="22"/>
      <w:szCs w:val="22"/>
    </w:rPr>
  </w:style>
  <w:style w:type="paragraph" w:styleId="874" w:customStyle="1">
    <w:name w:val="标题 91"/>
    <w:basedOn w:val="781"/>
    <w:next w:val="781"/>
    <w:link w:val="875"/>
    <w:uiPriority w:val="9"/>
    <w:unhideWhenUsed/>
    <w:qFormat/>
    <w:pPr>
      <w:keepLines/>
      <w:keepNext/>
      <w:spacing w:before="320" w:after="200"/>
      <w:outlineLvl w:val="8"/>
    </w:pPr>
    <w:rPr>
      <w:rFonts w:ascii="Arial" w:hAnsi="Arial" w:eastAsia="Arial"/>
      <w:i/>
      <w:iCs/>
      <w:szCs w:val="21"/>
    </w:rPr>
  </w:style>
  <w:style w:type="character" w:styleId="875" w:customStyle="1">
    <w:name w:val="Heading 9 Char"/>
    <w:link w:val="874"/>
    <w:uiPriority w:val="9"/>
    <w:qFormat/>
    <w:rPr>
      <w:rFonts w:ascii="Arial" w:hAnsi="Arial" w:eastAsia="Arial" w:cs="Arial"/>
      <w:i/>
      <w:iCs/>
      <w:sz w:val="21"/>
      <w:szCs w:val="21"/>
    </w:rPr>
  </w:style>
  <w:style w:type="paragraph" w:styleId="876">
    <w:name w:val="List Paragraph"/>
    <w:basedOn w:val="781"/>
    <w:uiPriority w:val="34"/>
    <w:qFormat/>
    <w:pPr>
      <w:contextualSpacing/>
      <w:ind w:left="720"/>
    </w:p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标题 Char"/>
    <w:link w:val="817"/>
    <w:uiPriority w:val="10"/>
    <w:qFormat/>
    <w:rPr>
      <w:sz w:val="48"/>
      <w:szCs w:val="48"/>
    </w:rPr>
  </w:style>
  <w:style w:type="character" w:styleId="879" w:customStyle="1">
    <w:name w:val="副标题 Char"/>
    <w:link w:val="809"/>
    <w:uiPriority w:val="11"/>
    <w:qFormat/>
    <w:rPr>
      <w:sz w:val="24"/>
      <w:szCs w:val="24"/>
    </w:rPr>
  </w:style>
  <w:style w:type="paragraph" w:styleId="880">
    <w:name w:val="Quote"/>
    <w:basedOn w:val="781"/>
    <w:next w:val="781"/>
    <w:link w:val="881"/>
    <w:uiPriority w:val="29"/>
    <w:qFormat/>
    <w:pPr>
      <w:ind w:left="720" w:right="720"/>
    </w:pPr>
    <w:rPr>
      <w:rFonts w:ascii="Times New Roman" w:hAnsi="Times New Roman"/>
      <w:i/>
      <w:sz w:val="20"/>
      <w:szCs w:val="20"/>
    </w:rPr>
  </w:style>
  <w:style w:type="character" w:styleId="881" w:customStyle="1">
    <w:name w:val="引用 Char"/>
    <w:link w:val="880"/>
    <w:uiPriority w:val="29"/>
    <w:qFormat/>
    <w:rPr>
      <w:i/>
    </w:rPr>
  </w:style>
  <w:style w:type="paragraph" w:styleId="882">
    <w:name w:val="Intense Quote"/>
    <w:basedOn w:val="781"/>
    <w:next w:val="781"/>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83" w:customStyle="1">
    <w:name w:val="明显引用 Char"/>
    <w:link w:val="882"/>
    <w:uiPriority w:val="30"/>
    <w:qFormat/>
    <w:rPr>
      <w:i/>
    </w:rPr>
  </w:style>
  <w:style w:type="paragraph" w:styleId="884" w:customStyle="1">
    <w:name w:val="页眉1"/>
    <w:basedOn w:val="781"/>
    <w:link w:val="885"/>
    <w:uiPriority w:val="99"/>
    <w:unhideWhenUsed/>
    <w:qFormat/>
    <w:pPr>
      <w:tabs>
        <w:tab w:val="center" w:pos="7143" w:leader="none"/>
        <w:tab w:val="right" w:pos="14287" w:leader="none"/>
      </w:tabs>
    </w:pPr>
  </w:style>
  <w:style w:type="character" w:styleId="885" w:customStyle="1">
    <w:name w:val="Header Char"/>
    <w:link w:val="884"/>
    <w:uiPriority w:val="99"/>
    <w:qFormat/>
  </w:style>
  <w:style w:type="paragraph" w:styleId="886" w:customStyle="1">
    <w:name w:val="页脚1"/>
    <w:basedOn w:val="781"/>
    <w:link w:val="889"/>
    <w:uiPriority w:val="99"/>
    <w:unhideWhenUsed/>
    <w:qFormat/>
    <w:pPr>
      <w:tabs>
        <w:tab w:val="center" w:pos="7143" w:leader="none"/>
        <w:tab w:val="right" w:pos="14287" w:leader="none"/>
      </w:tabs>
    </w:pPr>
  </w:style>
  <w:style w:type="character" w:styleId="887" w:customStyle="1">
    <w:name w:val="Footer Char"/>
    <w:uiPriority w:val="99"/>
    <w:qFormat/>
  </w:style>
  <w:style w:type="paragraph" w:styleId="888" w:customStyle="1">
    <w:name w:val="题注1"/>
    <w:basedOn w:val="781"/>
    <w:next w:val="781"/>
    <w:uiPriority w:val="35"/>
    <w:semiHidden/>
    <w:unhideWhenUsed/>
    <w:qFormat/>
    <w:pPr>
      <w:spacing w:line="276" w:lineRule="auto"/>
    </w:pPr>
    <w:rPr>
      <w:b/>
      <w:bCs/>
      <w:color w:val="4f81bd"/>
      <w:sz w:val="18"/>
      <w:szCs w:val="18"/>
    </w:rPr>
  </w:style>
  <w:style w:type="character" w:styleId="889" w:customStyle="1">
    <w:name w:val="Caption Char"/>
    <w:link w:val="886"/>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无格式表格 31"/>
    <w:uiPriority w:val="99"/>
    <w:qFormat/>
    <w:tblPr>
      <w:tblCellMar>
        <w:left w:w="0" w:type="dxa"/>
        <w:top w:w="0" w:type="dxa"/>
        <w:right w:w="0" w:type="dxa"/>
        <w:bottom w:w="0" w:type="dxa"/>
      </w:tblCellMar>
    </w:tblPr>
  </w:style>
  <w:style w:type="table" w:styleId="894" w:customStyle="1">
    <w:name w:val="无格式表格 41"/>
    <w:uiPriority w:val="99"/>
    <w:qFormat/>
    <w:tblPr>
      <w:tblCellMar>
        <w:left w:w="0" w:type="dxa"/>
        <w:top w:w="0" w:type="dxa"/>
        <w:right w:w="0" w:type="dxa"/>
        <w:bottom w:w="0" w:type="dxa"/>
      </w:tblCellMar>
    </w:tblPr>
  </w:style>
  <w:style w:type="table" w:styleId="895" w:customStyle="1">
    <w:name w:val="无格式表格 51"/>
    <w:uiPriority w:val="99"/>
    <w:qFormat/>
    <w:tblPr>
      <w:tblCellMar>
        <w:left w:w="0" w:type="dxa"/>
        <w:top w:w="0" w:type="dxa"/>
        <w:right w:w="0" w:type="dxa"/>
        <w:bottom w:w="0" w:type="dxa"/>
      </w:tblCellMar>
    </w:tblPr>
  </w:style>
  <w:style w:type="table" w:styleId="8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清单表 1 浅色1"/>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Char"/>
    <w:link w:val="810"/>
    <w:uiPriority w:val="99"/>
    <w:qFormat/>
    <w:rPr>
      <w:sz w:val="18"/>
    </w:rPr>
  </w:style>
  <w:style w:type="character" w:styleId="1016" w:customStyle="1">
    <w:name w:val="尾注文本 Char"/>
    <w:link w:val="803"/>
    <w:uiPriority w:val="99"/>
    <w:qFormat/>
    <w:rPr>
      <w:sz w:val="20"/>
    </w:rPr>
  </w:style>
  <w:style w:type="paragraph" w:styleId="1017" w:customStyle="1">
    <w:name w:val="TOC 标题11"/>
    <w:uiPriority w:val="39"/>
    <w:unhideWhenUsed/>
    <w:qFormat/>
    <w:rPr>
      <w:rFonts w:ascii="Times New Roman" w:hAnsi="Times New Roman" w:eastAsia="宋体" w:cs="Times New Roman"/>
      <w:lang w:val="en-US" w:eastAsia="zh-CN" w:bidi="ar-SA"/>
    </w:rPr>
  </w:style>
  <w:style w:type="character" w:styleId="1018" w:customStyle="1">
    <w:name w:val="批注框文本 Char"/>
    <w:link w:val="804"/>
    <w:uiPriority w:val="0"/>
    <w:qFormat/>
    <w:rPr>
      <w:sz w:val="18"/>
      <w:szCs w:val="18"/>
    </w:rPr>
  </w:style>
  <w:style w:type="paragraph" w:styleId="1019" w:customStyle="1">
    <w:name w:val="普通正文"/>
    <w:basedOn w:val="853"/>
    <w:uiPriority w:val="0"/>
    <w:qFormat/>
    <w:pPr>
      <w:ind w:firstLine="480"/>
      <w:jc w:val="left"/>
      <w:spacing w:before="120" w:after="120" w:line="360" w:lineRule="auto"/>
    </w:pPr>
    <w:rPr>
      <w:rFonts w:ascii="Arial" w:hAnsi="Arial"/>
      <w:sz w:val="24"/>
      <w:szCs w:val="24"/>
    </w:rPr>
  </w:style>
  <w:style w:type="paragraph" w:styleId="1020" w:customStyle="1">
    <w:name w:val="Char"/>
    <w:basedOn w:val="781"/>
    <w:uiPriority w:val="0"/>
    <w:qFormat/>
    <w:pPr>
      <w:ind w:firstLine="200"/>
      <w:tabs>
        <w:tab w:val="left" w:pos="360" w:leader="none"/>
      </w:tabs>
    </w:pPr>
    <w:rPr>
      <w:rFonts w:ascii="Times New Roman" w:hAnsi="Times New Roman"/>
      <w:sz w:val="28"/>
      <w:szCs w:val="30"/>
    </w:rPr>
  </w:style>
  <w:style w:type="table" w:styleId="1021" w:customStyle="1">
    <w:name w:val="Table Normal"/>
    <w:uiPriority w:val="0"/>
    <w:unhideWhenUsed/>
    <w:qFormat/>
    <w:tblPr>
      <w:tblCellMar>
        <w:left w:w="0" w:type="dxa"/>
        <w:top w:w="0" w:type="dxa"/>
        <w:right w:w="0" w:type="dxa"/>
        <w:bottom w:w="0" w:type="dxa"/>
      </w:tblCellMar>
    </w:tblPr>
  </w:style>
  <w:style w:type="paragraph" w:styleId="1022" w:customStyle="1">
    <w:name w:val="样式 段后: 0.25 行"/>
    <w:basedOn w:val="781"/>
    <w:next w:val="1023"/>
    <w:uiPriority w:val="99"/>
    <w:qFormat/>
    <w:pPr>
      <w:ind w:left="420" w:firstLine="5796"/>
      <w:spacing w:line="300" w:lineRule="auto"/>
      <w:widowControl/>
    </w:pPr>
  </w:style>
  <w:style w:type="paragraph" w:styleId="1023" w:customStyle="1">
    <w:name w:val="正文 New New New New New New New New New New New New New New"/>
    <w:next w:val="814"/>
    <w:uiPriority w:val="99"/>
    <w:qFormat/>
    <w:pPr>
      <w:ind w:firstLine="2048"/>
      <w:jc w:val="both"/>
      <w:widowControl w:val="off"/>
    </w:pPr>
    <w:rPr>
      <w:rFonts w:ascii="Calibri" w:hAnsi="Calibri" w:eastAsia="宋体" w:cs="Times New Roman"/>
      <w:lang w:val="en-US" w:eastAsia="zh-CN" w:bidi="ar-SA"/>
    </w:rPr>
  </w:style>
  <w:style w:type="paragraph" w:styleId="1024" w:customStyle="1">
    <w:name w:val="样式 首行缩进:  2 字符"/>
    <w:basedOn w:val="781"/>
    <w:next w:val="1022"/>
    <w:uiPriority w:val="99"/>
    <w:qFormat/>
    <w:pPr>
      <w:ind w:left="480" w:firstLine="5856"/>
      <w:spacing w:line="360" w:lineRule="auto"/>
    </w:pPr>
  </w:style>
  <w:style w:type="paragraph" w:styleId="1025" w:customStyle="1">
    <w:name w:val="Char Char Char Char Char Char Char Char Char"/>
    <w:basedOn w:val="781"/>
    <w:next w:val="1026"/>
    <w:uiPriority w:val="99"/>
    <w:qFormat/>
    <w:pPr>
      <w:ind w:left="360" w:firstLine="5784"/>
    </w:pPr>
  </w:style>
  <w:style w:type="paragraph" w:styleId="1026" w:customStyle="1">
    <w:name w:val="正文文本 21"/>
    <w:basedOn w:val="781"/>
    <w:next w:val="1027"/>
    <w:uiPriority w:val="99"/>
    <w:qFormat/>
    <w:pPr>
      <w:ind w:left="720" w:firstLine="5680"/>
      <w:widowControl/>
    </w:pPr>
  </w:style>
  <w:style w:type="paragraph" w:styleId="1027" w:customStyle="1">
    <w:name w:val="默认段落字体 Para Char Char Char Char Char Char Char"/>
    <w:basedOn w:val="781"/>
    <w:next w:val="1024"/>
    <w:uiPriority w:val="99"/>
    <w:qFormat/>
    <w:pPr>
      <w:ind w:firstLine="200"/>
    </w:pPr>
    <w:rPr>
      <w:rFonts w:cs="Arial"/>
    </w:rPr>
  </w:style>
  <w:style w:type="paragraph" w:styleId="1028" w:customStyle="1">
    <w:name w:val="正文（缩进）"/>
    <w:basedOn w:val="781"/>
    <w:uiPriority w:val="0"/>
    <w:qFormat/>
    <w:pPr>
      <w:ind w:firstLine="480"/>
    </w:pPr>
  </w:style>
  <w:style w:type="character" w:styleId="1029" w:customStyle="1">
    <w:name w:val="页眉 Char"/>
    <w:basedOn w:val="791"/>
    <w:link w:val="806"/>
    <w:uiPriority w:val="99"/>
    <w:qFormat/>
    <w:rPr>
      <w:rFonts w:ascii="Calibri" w:hAnsi="Calibri"/>
      <w:sz w:val="18"/>
      <w:szCs w:val="18"/>
    </w:rPr>
  </w:style>
  <w:style w:type="character" w:styleId="1030" w:customStyle="1">
    <w:name w:val="页脚 Char"/>
    <w:basedOn w:val="791"/>
    <w:link w:val="805"/>
    <w:uiPriority w:val="99"/>
    <w:qFormat/>
    <w:rPr>
      <w:rFonts w:ascii="Calibri" w:hAnsi="Calibri"/>
      <w:sz w:val="18"/>
      <w:szCs w:val="18"/>
    </w:rPr>
  </w:style>
  <w:style w:type="paragraph" w:styleId="1031" w:customStyle="1">
    <w:name w:val="标题 211"/>
    <w:basedOn w:val="781"/>
    <w:next w:val="10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2" w:customStyle="1">
    <w:name w:val="正文缩进1"/>
    <w:basedOn w:val="781"/>
    <w:uiPriority w:val="0"/>
    <w:unhideWhenUsed/>
    <w:qFormat/>
    <w:pPr>
      <w:ind w:firstLine="420"/>
    </w:pPr>
  </w:style>
  <w:style w:type="paragraph" w:styleId="1033" w:customStyle="1">
    <w:name w:val="WPSOffice手动目录 1"/>
    <w:uiPriority w:val="0"/>
    <w:qFormat/>
    <w:rPr>
      <w:rFonts w:ascii="Times New Roman" w:hAnsi="Times New Roman" w:eastAsia="宋体" w:cs="Times New Roman"/>
      <w:lang w:val="en-US" w:eastAsia="zh-CN" w:bidi="ar-SA"/>
    </w:rPr>
  </w:style>
  <w:style w:type="paragraph" w:styleId="1034" w:customStyle="1">
    <w:name w:val="WPSOffice手动目录 2"/>
    <w:uiPriority w:val="0"/>
    <w:qFormat/>
    <w:pPr>
      <w:ind w:left="200"/>
    </w:pPr>
    <w:rPr>
      <w:rFonts w:ascii="Times New Roman" w:hAnsi="Times New Roman" w:eastAsia="宋体" w:cs="Times New Roman"/>
      <w:lang w:val="en-US" w:eastAsia="zh-CN" w:bidi="ar-SA"/>
    </w:rPr>
  </w:style>
  <w:style w:type="character" w:styleId="1035" w:customStyle="1">
    <w:name w:val="正文文本 Char"/>
    <w:basedOn w:val="791"/>
    <w:link w:val="797"/>
    <w:uiPriority w:val="0"/>
    <w:qFormat/>
    <w:rPr>
      <w:rFonts w:ascii="楷体_GB2312" w:hAnsi="Arial" w:eastAsia="楷体_GB2312"/>
      <w:sz w:val="28"/>
      <w:szCs w:val="28"/>
    </w:rPr>
  </w:style>
  <w:style w:type="character" w:styleId="1036" w:customStyle="1">
    <w:name w:val="s1"/>
    <w:basedOn w:val="791"/>
    <w:uiPriority w:val="0"/>
    <w:qFormat/>
    <w:rPr>
      <w:rFonts w:ascii="Helvetica Neue" w:hAnsi="Helvetica Neue" w:eastAsia="Helvetica Neue" w:cs="Helvetica Neue"/>
      <w:sz w:val="32"/>
      <w:szCs w:val="32"/>
    </w:rPr>
  </w:style>
  <w:style w:type="character" w:styleId="1037" w:customStyle="1">
    <w:name w:val="font31"/>
    <w:basedOn w:val="791"/>
    <w:uiPriority w:val="0"/>
    <w:qFormat/>
    <w:rPr>
      <w:rFonts w:hint="eastAsia" w:ascii="宋体" w:hAnsi="宋体" w:eastAsia="宋体" w:cs="宋体"/>
      <w:color w:val="000000"/>
      <w:sz w:val="24"/>
      <w:szCs w:val="24"/>
      <w:u w:val="none"/>
    </w:rPr>
  </w:style>
  <w:style w:type="character" w:styleId="1038" w:customStyle="1">
    <w:name w:val="font91"/>
    <w:basedOn w:val="791"/>
    <w:uiPriority w:val="0"/>
    <w:qFormat/>
    <w:rPr>
      <w:rFonts w:hint="eastAsia" w:ascii="宋体" w:hAnsi="宋体" w:eastAsia="宋体" w:cs="宋体"/>
      <w:color w:val="ff0000"/>
      <w:sz w:val="24"/>
      <w:szCs w:val="24"/>
      <w:u w:val="none"/>
    </w:rPr>
  </w:style>
  <w:style w:type="character" w:styleId="1039" w:customStyle="1">
    <w:name w:val="font161"/>
    <w:basedOn w:val="791"/>
    <w:uiPriority w:val="0"/>
    <w:qFormat/>
    <w:rPr>
      <w:rFonts w:hint="eastAsia" w:ascii="宋体" w:hAnsi="宋体" w:eastAsia="宋体" w:cs="宋体"/>
      <w:color w:val="7030a0"/>
      <w:sz w:val="24"/>
      <w:szCs w:val="24"/>
      <w:u w:val="none"/>
    </w:rPr>
  </w:style>
  <w:style w:type="character" w:styleId="1040" w:customStyle="1">
    <w:name w:val="font01"/>
    <w:basedOn w:val="791"/>
    <w:uiPriority w:val="0"/>
    <w:qFormat/>
    <w:rPr>
      <w:rFonts w:hint="eastAsia" w:ascii="宋体" w:hAnsi="宋体" w:eastAsia="宋体" w:cs="宋体"/>
      <w:color w:val="000000"/>
      <w:sz w:val="24"/>
      <w:szCs w:val="24"/>
      <w:u w:val="none"/>
    </w:rPr>
  </w:style>
  <w:style w:type="character" w:styleId="1041" w:customStyle="1">
    <w:name w:val="font51"/>
    <w:basedOn w:val="791"/>
    <w:uiPriority w:val="0"/>
    <w:qFormat/>
    <w:rPr>
      <w:rFonts w:hint="eastAsia" w:ascii="宋体" w:hAnsi="宋体" w:eastAsia="宋体" w:cs="宋体"/>
      <w:color w:val="000000"/>
      <w:sz w:val="24"/>
      <w:szCs w:val="24"/>
      <w:u w:val="none"/>
    </w:rPr>
  </w:style>
  <w:style w:type="character" w:styleId="1042" w:customStyle="1">
    <w:name w:val="font21"/>
    <w:basedOn w:val="791"/>
    <w:uiPriority w:val="0"/>
    <w:qFormat/>
    <w:rPr>
      <w:rFonts w:hint="eastAsia" w:ascii="宋体" w:hAnsi="宋体" w:eastAsia="宋体" w:cs="宋体"/>
      <w:color w:val="000000"/>
      <w:sz w:val="24"/>
      <w:szCs w:val="24"/>
      <w:u w:val="none"/>
    </w:rPr>
  </w:style>
  <w:style w:type="character" w:styleId="1043" w:customStyle="1">
    <w:name w:val="font81"/>
    <w:basedOn w:val="791"/>
    <w:uiPriority w:val="0"/>
    <w:qFormat/>
    <w:rPr>
      <w:rFonts w:hint="eastAsia" w:ascii="宋体" w:hAnsi="宋体" w:eastAsia="宋体" w:cs="宋体"/>
      <w:color w:val="ff0000"/>
      <w:sz w:val="24"/>
      <w:szCs w:val="24"/>
      <w:u w:val="none"/>
    </w:rPr>
  </w:style>
  <w:style w:type="character" w:styleId="1044" w:customStyle="1">
    <w:name w:val="font151"/>
    <w:basedOn w:val="791"/>
    <w:uiPriority w:val="0"/>
    <w:qFormat/>
    <w:rPr>
      <w:rFonts w:hint="eastAsia" w:ascii="宋体" w:hAnsi="宋体" w:eastAsia="宋体" w:cs="宋体"/>
      <w:color w:val="7030a0"/>
      <w:sz w:val="24"/>
      <w:szCs w:val="24"/>
      <w:u w:val="none"/>
    </w:rPr>
  </w:style>
  <w:style w:type="paragraph" w:styleId="1045" w:customStyle="1">
    <w:name w:val="Table Text"/>
    <w:basedOn w:val="781"/>
    <w:uiPriority w:val="0"/>
    <w:semiHidden/>
    <w:qFormat/>
    <w:rPr>
      <w:rFonts w:ascii="宋体" w:hAnsi="宋体" w:cs="宋体"/>
      <w:sz w:val="22"/>
      <w:lang w:eastAsia="en-US"/>
    </w:rPr>
  </w:style>
  <w:style w:type="paragraph" w:styleId="1046" w:customStyle="1">
    <w:name w:val="列表项目符号 21"/>
    <w:basedOn w:val="781"/>
    <w:uiPriority w:val="0"/>
    <w:qFormat/>
    <w:pPr>
      <w:numPr>
        <w:ilvl w:val="0"/>
        <w:numId w:val="1"/>
      </w:numPr>
    </w:pPr>
    <w:rPr>
      <w:rFonts w:ascii="Times New Roman" w:hAnsi="Times New Roman"/>
    </w:rPr>
  </w:style>
  <w:style w:type="paragraph" w:styleId="1047" w:customStyle="1">
    <w:name w:val="正文文本11"/>
    <w:basedOn w:val="781"/>
    <w:next w:val="781"/>
    <w:uiPriority w:val="0"/>
    <w:qFormat/>
    <w:rPr>
      <w:rFonts w:ascii="楷体_GB2312" w:hAnsi="Arial" w:eastAsia="楷体_GB2312"/>
      <w:sz w:val="28"/>
      <w:szCs w:val="28"/>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4B6135E-07A9-4678-A464-574E68F7C4D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尹政</cp:lastModifiedBy>
  <cp:revision>415</cp:revision>
  <dcterms:created xsi:type="dcterms:W3CDTF">2014-10-29T12:08:00Z</dcterms:created>
  <dcterms:modified xsi:type="dcterms:W3CDTF">2025-11-24T07:47:00Z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958AF80C1F56416F8D8BD3E7F68F4C36_13</vt:lpwstr>
  </property>
  <property fmtid="{D5CDD505-2E9C-101B-9397-08002B2CF9AE}" pid="4" name="KSOTemplateDocerSaveRecord">
    <vt:lpwstr>eyJoZGlkIjoiOGIwNmJhYWFkODhhMjY5NTg4ZWI5ODY3OTZiMjAzZTIiLCJ1c2VySWQiOiIyMzg1MTgzNzMifQ==</vt:lpwstr>
  </property>
</Properties>
</file>